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2048"/>
        <w:gridCol w:w="1604"/>
        <w:gridCol w:w="3969"/>
        <w:gridCol w:w="1667"/>
      </w:tblGrid>
      <w:tr w:rsidR="001614EB" w:rsidTr="001614EB">
        <w:tc>
          <w:tcPr>
            <w:tcW w:w="2048" w:type="dxa"/>
          </w:tcPr>
          <w:p w:rsidR="001614EB" w:rsidRPr="00BA2323" w:rsidRDefault="003E4F5E" w:rsidP="00BA23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TD</w:t>
            </w:r>
          </w:p>
        </w:tc>
        <w:tc>
          <w:tcPr>
            <w:tcW w:w="1604" w:type="dxa"/>
          </w:tcPr>
          <w:p w:rsidR="001614EB" w:rsidRPr="00BA2323" w:rsidRDefault="001614EB" w:rsidP="00BA23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2323"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  <w:r w:rsidR="00A81909">
              <w:rPr>
                <w:rFonts w:ascii="Times New Roman" w:hAnsi="Times New Roman" w:cs="Times New Roman"/>
                <w:b/>
                <w:sz w:val="28"/>
                <w:szCs w:val="28"/>
              </w:rPr>
              <w:t>2D</w:t>
            </w:r>
          </w:p>
        </w:tc>
        <w:tc>
          <w:tcPr>
            <w:tcW w:w="3969" w:type="dxa"/>
          </w:tcPr>
          <w:p w:rsidR="001614EB" w:rsidRPr="00BA2323" w:rsidRDefault="003E4F5E" w:rsidP="00BA23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Le vocabulaire technique</w:t>
            </w:r>
          </w:p>
        </w:tc>
        <w:tc>
          <w:tcPr>
            <w:tcW w:w="1667" w:type="dxa"/>
          </w:tcPr>
          <w:p w:rsidR="001614EB" w:rsidRPr="00BA2323" w:rsidRDefault="001614EB" w:rsidP="00BA23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232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BA2323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ère</w:t>
            </w:r>
            <w:r w:rsidRPr="00BA23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STI2D</w:t>
            </w:r>
          </w:p>
        </w:tc>
      </w:tr>
    </w:tbl>
    <w:p w:rsidR="00457C1E" w:rsidRDefault="00457C1E" w:rsidP="003E4F5E">
      <w:pPr>
        <w:pStyle w:val="Sansinterligne"/>
        <w:jc w:val="both"/>
      </w:pPr>
      <w:r>
        <w:tab/>
      </w:r>
    </w:p>
    <w:p w:rsidR="00457C1E" w:rsidRPr="003E4F5E" w:rsidRDefault="003E4F5E" w:rsidP="00457C1E">
      <w:pPr>
        <w:tabs>
          <w:tab w:val="left" w:pos="1020"/>
        </w:tabs>
        <w:jc w:val="both"/>
        <w:rPr>
          <w:rFonts w:ascii="Arial" w:hAnsi="Arial" w:cs="Arial"/>
          <w:sz w:val="24"/>
          <w:szCs w:val="24"/>
        </w:rPr>
      </w:pPr>
      <w:r w:rsidRPr="003E4F5E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280035</wp:posOffset>
            </wp:positionV>
            <wp:extent cx="6661150" cy="3514725"/>
            <wp:effectExtent l="19050" t="0" r="6350" b="0"/>
            <wp:wrapNone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4F5E">
        <w:rPr>
          <w:rFonts w:ascii="Arial" w:hAnsi="Arial" w:cs="Arial"/>
          <w:sz w:val="24"/>
          <w:szCs w:val="24"/>
        </w:rPr>
        <w:t>A l’aide du cours sur le vocabulaire, retrouver les noms des différentes formes sur les pièces :</w:t>
      </w:r>
    </w:p>
    <w:p w:rsidR="00457C1E" w:rsidRDefault="00457C1E" w:rsidP="00457C1E">
      <w:pPr>
        <w:tabs>
          <w:tab w:val="left" w:pos="1020"/>
        </w:tabs>
        <w:jc w:val="both"/>
      </w:pPr>
    </w:p>
    <w:p w:rsidR="00457C1E" w:rsidRDefault="00457C1E" w:rsidP="00457C1E">
      <w:pPr>
        <w:tabs>
          <w:tab w:val="left" w:pos="1020"/>
        </w:tabs>
        <w:jc w:val="both"/>
      </w:pPr>
    </w:p>
    <w:p w:rsidR="00457C1E" w:rsidRDefault="00457C1E" w:rsidP="00457C1E">
      <w:pPr>
        <w:tabs>
          <w:tab w:val="left" w:pos="1020"/>
        </w:tabs>
        <w:jc w:val="both"/>
      </w:pPr>
    </w:p>
    <w:p w:rsidR="00457C1E" w:rsidRDefault="00457C1E" w:rsidP="00457C1E">
      <w:pPr>
        <w:tabs>
          <w:tab w:val="left" w:pos="1020"/>
        </w:tabs>
        <w:jc w:val="both"/>
      </w:pPr>
    </w:p>
    <w:p w:rsidR="00457C1E" w:rsidRDefault="00457C1E" w:rsidP="00457C1E">
      <w:pPr>
        <w:tabs>
          <w:tab w:val="left" w:pos="1020"/>
        </w:tabs>
        <w:jc w:val="both"/>
      </w:pPr>
    </w:p>
    <w:p w:rsidR="00457C1E" w:rsidRDefault="00457C1E" w:rsidP="00457C1E">
      <w:pPr>
        <w:tabs>
          <w:tab w:val="left" w:pos="1020"/>
        </w:tabs>
        <w:jc w:val="both"/>
      </w:pPr>
    </w:p>
    <w:p w:rsidR="00457C1E" w:rsidRDefault="00457C1E" w:rsidP="00457C1E">
      <w:pPr>
        <w:tabs>
          <w:tab w:val="left" w:pos="1020"/>
        </w:tabs>
        <w:jc w:val="both"/>
      </w:pPr>
    </w:p>
    <w:p w:rsidR="00457C1E" w:rsidRDefault="00457C1E" w:rsidP="00457C1E">
      <w:pPr>
        <w:tabs>
          <w:tab w:val="left" w:pos="1020"/>
        </w:tabs>
        <w:jc w:val="both"/>
      </w:pPr>
    </w:p>
    <w:p w:rsidR="00457C1E" w:rsidRDefault="00457C1E" w:rsidP="00457C1E">
      <w:pPr>
        <w:tabs>
          <w:tab w:val="left" w:pos="1020"/>
        </w:tabs>
        <w:jc w:val="both"/>
      </w:pPr>
    </w:p>
    <w:p w:rsidR="00457C1E" w:rsidRDefault="003E4F5E" w:rsidP="00457C1E">
      <w:pPr>
        <w:tabs>
          <w:tab w:val="left" w:pos="1020"/>
        </w:tabs>
        <w:jc w:val="both"/>
      </w:pPr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-756920</wp:posOffset>
            </wp:positionH>
            <wp:positionV relativeFrom="paragraph">
              <wp:posOffset>307339</wp:posOffset>
            </wp:positionV>
            <wp:extent cx="4989028" cy="3495675"/>
            <wp:effectExtent l="0" t="0" r="0" b="0"/>
            <wp:wrapNone/>
            <wp:docPr id="2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637" cy="349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C1E" w:rsidRDefault="00457C1E" w:rsidP="00457C1E">
      <w:pPr>
        <w:tabs>
          <w:tab w:val="left" w:pos="1020"/>
        </w:tabs>
        <w:jc w:val="both"/>
      </w:pPr>
    </w:p>
    <w:p w:rsidR="00457C1E" w:rsidRDefault="00457C1E" w:rsidP="00457C1E">
      <w:pPr>
        <w:tabs>
          <w:tab w:val="left" w:pos="1020"/>
        </w:tabs>
        <w:jc w:val="both"/>
      </w:pPr>
    </w:p>
    <w:p w:rsidR="00457C1E" w:rsidRDefault="00457C1E" w:rsidP="00457C1E">
      <w:pPr>
        <w:tabs>
          <w:tab w:val="left" w:pos="1020"/>
        </w:tabs>
        <w:jc w:val="both"/>
      </w:pPr>
    </w:p>
    <w:p w:rsidR="00457C1E" w:rsidRDefault="00457C1E" w:rsidP="00457C1E">
      <w:pPr>
        <w:tabs>
          <w:tab w:val="left" w:pos="1020"/>
        </w:tabs>
        <w:jc w:val="both"/>
      </w:pPr>
    </w:p>
    <w:p w:rsidR="00457C1E" w:rsidRDefault="00457C1E" w:rsidP="00457C1E">
      <w:pPr>
        <w:tabs>
          <w:tab w:val="left" w:pos="1020"/>
        </w:tabs>
        <w:jc w:val="both"/>
      </w:pPr>
    </w:p>
    <w:p w:rsidR="00457C1E" w:rsidRDefault="00457C1E" w:rsidP="00457C1E">
      <w:pPr>
        <w:tabs>
          <w:tab w:val="left" w:pos="1020"/>
        </w:tabs>
        <w:jc w:val="both"/>
      </w:pPr>
    </w:p>
    <w:p w:rsidR="00457C1E" w:rsidRDefault="00457C1E" w:rsidP="00457C1E">
      <w:pPr>
        <w:tabs>
          <w:tab w:val="left" w:pos="1020"/>
        </w:tabs>
        <w:jc w:val="both"/>
      </w:pPr>
    </w:p>
    <w:p w:rsidR="00457C1E" w:rsidRDefault="00457C1E" w:rsidP="00457C1E">
      <w:pPr>
        <w:tabs>
          <w:tab w:val="left" w:pos="1020"/>
        </w:tabs>
        <w:jc w:val="both"/>
      </w:pPr>
    </w:p>
    <w:p w:rsidR="00457C1E" w:rsidRDefault="00457C1E" w:rsidP="00457C1E">
      <w:pPr>
        <w:tabs>
          <w:tab w:val="left" w:pos="1020"/>
        </w:tabs>
        <w:jc w:val="both"/>
      </w:pPr>
    </w:p>
    <w:p w:rsidR="00457C1E" w:rsidRDefault="003E4F5E" w:rsidP="00457C1E">
      <w:pPr>
        <w:tabs>
          <w:tab w:val="left" w:pos="1020"/>
        </w:tabs>
        <w:jc w:val="both"/>
      </w:pP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1948180</wp:posOffset>
            </wp:positionH>
            <wp:positionV relativeFrom="paragraph">
              <wp:posOffset>242779</wp:posOffset>
            </wp:positionV>
            <wp:extent cx="4572000" cy="2863006"/>
            <wp:effectExtent l="19050" t="0" r="0" b="0"/>
            <wp:wrapNone/>
            <wp:docPr id="2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6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C1E" w:rsidRDefault="00457C1E" w:rsidP="00457C1E">
      <w:pPr>
        <w:tabs>
          <w:tab w:val="left" w:pos="1020"/>
        </w:tabs>
        <w:jc w:val="both"/>
      </w:pPr>
    </w:p>
    <w:p w:rsidR="00457C1E" w:rsidRDefault="00457C1E" w:rsidP="00457C1E">
      <w:pPr>
        <w:tabs>
          <w:tab w:val="left" w:pos="1020"/>
        </w:tabs>
        <w:jc w:val="both"/>
      </w:pPr>
    </w:p>
    <w:p w:rsidR="00457C1E" w:rsidRDefault="00457C1E" w:rsidP="00457C1E">
      <w:pPr>
        <w:tabs>
          <w:tab w:val="left" w:pos="1020"/>
        </w:tabs>
        <w:jc w:val="both"/>
      </w:pPr>
    </w:p>
    <w:p w:rsidR="00457C1E" w:rsidRDefault="00457C1E" w:rsidP="00457C1E">
      <w:pPr>
        <w:tabs>
          <w:tab w:val="left" w:pos="1020"/>
        </w:tabs>
        <w:jc w:val="both"/>
      </w:pPr>
    </w:p>
    <w:p w:rsidR="00457C1E" w:rsidRDefault="00457C1E" w:rsidP="00457C1E">
      <w:pPr>
        <w:tabs>
          <w:tab w:val="left" w:pos="1020"/>
        </w:tabs>
        <w:jc w:val="both"/>
      </w:pPr>
    </w:p>
    <w:p w:rsidR="00457C1E" w:rsidRDefault="00D36117" w:rsidP="00457C1E">
      <w:pPr>
        <w:tabs>
          <w:tab w:val="left" w:pos="1020"/>
        </w:tabs>
        <w:jc w:val="both"/>
      </w:pPr>
      <w:r>
        <w:rPr>
          <w:noProof/>
        </w:rPr>
        <w:pict>
          <v:rect id="_x0000_s1036" style="position:absolute;left:0;text-align:left;margin-left:-11.1pt;margin-top:-72.3pt;width:552.75pt;height:65.25pt;z-index:-251656192" strokecolor="white [3212]"/>
        </w:pict>
      </w:r>
    </w:p>
    <w:p w:rsidR="00457C1E" w:rsidRDefault="00457C1E" w:rsidP="00457C1E">
      <w:pPr>
        <w:tabs>
          <w:tab w:val="left" w:pos="1020"/>
        </w:tabs>
        <w:jc w:val="both"/>
      </w:pPr>
    </w:p>
    <w:tbl>
      <w:tblPr>
        <w:tblStyle w:val="Grilledutableau"/>
        <w:tblW w:w="0" w:type="auto"/>
        <w:tblLook w:val="04A0"/>
      </w:tblPr>
      <w:tblGrid>
        <w:gridCol w:w="2048"/>
        <w:gridCol w:w="1604"/>
        <w:gridCol w:w="3969"/>
        <w:gridCol w:w="1667"/>
      </w:tblGrid>
      <w:tr w:rsidR="003E4F5E" w:rsidRPr="00BA2323" w:rsidTr="008B2718">
        <w:tc>
          <w:tcPr>
            <w:tcW w:w="2048" w:type="dxa"/>
          </w:tcPr>
          <w:p w:rsidR="003E4F5E" w:rsidRPr="00BA2323" w:rsidRDefault="003E4F5E" w:rsidP="008B27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Cours</w:t>
            </w:r>
          </w:p>
        </w:tc>
        <w:tc>
          <w:tcPr>
            <w:tcW w:w="1604" w:type="dxa"/>
          </w:tcPr>
          <w:p w:rsidR="003E4F5E" w:rsidRPr="00BA2323" w:rsidRDefault="003E4F5E" w:rsidP="008B27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2323"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2D</w:t>
            </w:r>
          </w:p>
        </w:tc>
        <w:tc>
          <w:tcPr>
            <w:tcW w:w="3969" w:type="dxa"/>
          </w:tcPr>
          <w:p w:rsidR="003E4F5E" w:rsidRPr="00BA2323" w:rsidRDefault="003E4F5E" w:rsidP="008B27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Le vocabulaire technique</w:t>
            </w:r>
          </w:p>
        </w:tc>
        <w:tc>
          <w:tcPr>
            <w:tcW w:w="1667" w:type="dxa"/>
          </w:tcPr>
          <w:p w:rsidR="003E4F5E" w:rsidRPr="00BA2323" w:rsidRDefault="003E4F5E" w:rsidP="008B27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232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BA2323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ère</w:t>
            </w:r>
            <w:r w:rsidRPr="00BA23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STI2D</w:t>
            </w:r>
          </w:p>
        </w:tc>
      </w:tr>
    </w:tbl>
    <w:p w:rsidR="00457C1E" w:rsidRDefault="003E4F5E" w:rsidP="00457C1E">
      <w:pPr>
        <w:tabs>
          <w:tab w:val="left" w:pos="1020"/>
        </w:tabs>
        <w:jc w:val="both"/>
      </w:pPr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79375</wp:posOffset>
            </wp:positionV>
            <wp:extent cx="6438900" cy="9705975"/>
            <wp:effectExtent l="19050" t="0" r="0" b="0"/>
            <wp:wrapNone/>
            <wp:docPr id="17" name="Image 1" descr="C:\Users\Tim\Documents\Lycée Clos Maire Beaune\Cours\Cours T.VANDROUX\1erSTI2D\ITEC\TD\vocabulaire\Sans titre-Numérisation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m\Documents\Lycée Clos Maire Beaune\Cours\Cours T.VANDROUX\1erSTI2D\ITEC\TD\vocabulaire\Sans titre-Numérisation-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 l="2919" t="792" r="1467" b="1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C1E" w:rsidRDefault="00457C1E" w:rsidP="00457C1E">
      <w:pPr>
        <w:tabs>
          <w:tab w:val="left" w:pos="1020"/>
        </w:tabs>
        <w:jc w:val="both"/>
      </w:pPr>
    </w:p>
    <w:p w:rsidR="00457C1E" w:rsidRDefault="00457C1E" w:rsidP="00457C1E">
      <w:pPr>
        <w:tabs>
          <w:tab w:val="left" w:pos="1020"/>
        </w:tabs>
        <w:jc w:val="both"/>
      </w:pPr>
    </w:p>
    <w:p w:rsidR="00457C1E" w:rsidRDefault="00457C1E" w:rsidP="00457C1E">
      <w:pPr>
        <w:pStyle w:val="Sansinterligne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E4F5E" w:rsidRDefault="003E4F5E" w:rsidP="00457C1E">
      <w:pPr>
        <w:pStyle w:val="Sansinterligne"/>
        <w:jc w:val="both"/>
        <w:rPr>
          <w:b/>
          <w:bCs/>
          <w:u w:val="single"/>
        </w:rPr>
      </w:pPr>
    </w:p>
    <w:p w:rsidR="003A0961" w:rsidRDefault="003A0961" w:rsidP="00457C1E">
      <w:pPr>
        <w:pStyle w:val="Sansinterligne"/>
        <w:jc w:val="both"/>
        <w:rPr>
          <w:rFonts w:ascii="Arial" w:hAnsi="Arial" w:cs="Arial"/>
          <w:b/>
          <w:bCs/>
          <w:u w:val="single"/>
        </w:rPr>
      </w:pPr>
    </w:p>
    <w:p w:rsidR="003A0961" w:rsidRPr="003A0961" w:rsidRDefault="003A0961" w:rsidP="003A0961">
      <w:pPr>
        <w:pStyle w:val="Sansinterligne"/>
        <w:jc w:val="center"/>
        <w:rPr>
          <w:rFonts w:ascii="Arial" w:hAnsi="Arial" w:cs="Arial"/>
          <w:bCs/>
          <w:i/>
          <w:sz w:val="28"/>
          <w:szCs w:val="28"/>
          <w:u w:val="single"/>
        </w:rPr>
      </w:pPr>
      <w:r w:rsidRPr="003A0961">
        <w:rPr>
          <w:rFonts w:ascii="Arial" w:hAnsi="Arial" w:cs="Arial"/>
          <w:bCs/>
          <w:i/>
          <w:sz w:val="28"/>
          <w:szCs w:val="28"/>
          <w:u w:val="single"/>
        </w:rPr>
        <w:lastRenderedPageBreak/>
        <w:t>Définitions du vocabulaire :</w:t>
      </w:r>
    </w:p>
    <w:p w:rsidR="003A0961" w:rsidRDefault="003A0961" w:rsidP="00457C1E">
      <w:pPr>
        <w:pStyle w:val="Sansinterligne"/>
        <w:jc w:val="both"/>
        <w:rPr>
          <w:rFonts w:ascii="Arial" w:hAnsi="Arial" w:cs="Arial"/>
          <w:b/>
          <w:bCs/>
          <w:u w:val="single"/>
        </w:rPr>
      </w:pP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  <w:r w:rsidRPr="00B82461">
        <w:rPr>
          <w:rFonts w:ascii="Arial" w:hAnsi="Arial" w:cs="Arial"/>
          <w:b/>
          <w:bCs/>
          <w:highlight w:val="yellow"/>
          <w:u w:val="single"/>
        </w:rPr>
        <w:t>Alésage</w:t>
      </w:r>
      <w:r w:rsidRPr="003A0961">
        <w:rPr>
          <w:rFonts w:ascii="Arial" w:hAnsi="Arial" w:cs="Arial"/>
          <w:b/>
          <w:bCs/>
          <w:u w:val="single"/>
        </w:rPr>
        <w:t xml:space="preserve"> :</w:t>
      </w:r>
      <w:r w:rsidRPr="003A0961">
        <w:rPr>
          <w:rFonts w:ascii="Arial" w:hAnsi="Arial" w:cs="Arial"/>
        </w:rPr>
        <w:t xml:space="preserve"> Forme creuse cylindrique (trou) destinée à recevoir un arbre.</w:t>
      </w: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  <w:r w:rsidRPr="00B82461">
        <w:rPr>
          <w:rFonts w:ascii="Arial" w:hAnsi="Arial" w:cs="Arial"/>
          <w:b/>
          <w:bCs/>
          <w:highlight w:val="yellow"/>
          <w:u w:val="single"/>
        </w:rPr>
        <w:t>Arbre :</w:t>
      </w:r>
      <w:r w:rsidRPr="003A0961">
        <w:rPr>
          <w:rFonts w:ascii="Arial" w:hAnsi="Arial" w:cs="Arial"/>
        </w:rPr>
        <w:t xml:space="preserve"> Désigne une pièce cylindrique précise. C'est le contenu dans un assemblage avec un alésage.</w:t>
      </w: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  <w:r w:rsidRPr="003A0961">
        <w:rPr>
          <w:rFonts w:ascii="Arial" w:hAnsi="Arial" w:cs="Arial"/>
          <w:b/>
          <w:bCs/>
          <w:u w:val="single"/>
        </w:rPr>
        <w:t>Arrondi :</w:t>
      </w:r>
      <w:r w:rsidRPr="003A0961">
        <w:rPr>
          <w:rFonts w:ascii="Arial" w:hAnsi="Arial" w:cs="Arial"/>
        </w:rPr>
        <w:t xml:space="preserve"> Surface à arrondie destinée à supprimer une arête saillante.</w:t>
      </w: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  <w:r w:rsidRPr="003A0961">
        <w:rPr>
          <w:rFonts w:ascii="Arial" w:hAnsi="Arial" w:cs="Arial"/>
          <w:b/>
          <w:bCs/>
          <w:u w:val="single"/>
        </w:rPr>
        <w:t>Bossage :</w:t>
      </w:r>
      <w:r w:rsidRPr="003A0961">
        <w:rPr>
          <w:rFonts w:ascii="Arial" w:hAnsi="Arial" w:cs="Arial"/>
        </w:rPr>
        <w:t xml:space="preserve"> Saillie prévue sur une pièce afin de limiter la portée (surface d'appui).</w:t>
      </w: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  <w:b/>
          <w:bCs/>
          <w:u w:val="single"/>
        </w:rPr>
      </w:pPr>
      <w:r w:rsidRPr="003A0961">
        <w:rPr>
          <w:rFonts w:ascii="Arial" w:hAnsi="Arial" w:cs="Arial"/>
          <w:b/>
          <w:bCs/>
          <w:u w:val="single"/>
        </w:rPr>
        <w:t xml:space="preserve">Chambrage : </w:t>
      </w:r>
      <w:r w:rsidRPr="003A0961">
        <w:rPr>
          <w:rFonts w:ascii="Arial" w:hAnsi="Arial" w:cs="Arial"/>
        </w:rPr>
        <w:t>Evidement réalisé à l'intérieur d'un alésage destiné à limiter la portée (surface de contact) de l'arbre contenu dans l'alésage.</w:t>
      </w: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  <w:r w:rsidRPr="00B82461">
        <w:rPr>
          <w:rFonts w:ascii="Arial" w:hAnsi="Arial" w:cs="Arial"/>
          <w:b/>
          <w:bCs/>
          <w:highlight w:val="yellow"/>
          <w:u w:val="single"/>
        </w:rPr>
        <w:t>Chanfrein :</w:t>
      </w:r>
      <w:r w:rsidRPr="003A0961">
        <w:rPr>
          <w:rFonts w:ascii="Arial" w:hAnsi="Arial" w:cs="Arial"/>
        </w:rPr>
        <w:t>Petite surface obtenue par suppression d'une arête sur une pièce.</w:t>
      </w: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  <w:r w:rsidRPr="003A0961">
        <w:rPr>
          <w:rFonts w:ascii="Arial" w:hAnsi="Arial" w:cs="Arial"/>
          <w:b/>
          <w:bCs/>
          <w:u w:val="single"/>
        </w:rPr>
        <w:t>Collet :</w:t>
      </w:r>
      <w:r w:rsidRPr="003A0961">
        <w:rPr>
          <w:rFonts w:ascii="Arial" w:hAnsi="Arial" w:cs="Arial"/>
        </w:rPr>
        <w:t xml:space="preserve"> Couronne sur une pièce cylindrique qui peut servir de butée.</w:t>
      </w: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  <w:r w:rsidRPr="00B82461">
        <w:rPr>
          <w:rFonts w:ascii="Arial" w:hAnsi="Arial" w:cs="Arial"/>
          <w:b/>
          <w:bCs/>
          <w:highlight w:val="yellow"/>
          <w:u w:val="single"/>
        </w:rPr>
        <w:t>Congé :</w:t>
      </w:r>
      <w:r w:rsidRPr="003A0961">
        <w:rPr>
          <w:rFonts w:ascii="Arial" w:hAnsi="Arial" w:cs="Arial"/>
        </w:rPr>
        <w:t xml:space="preserve"> Surface à section circulaire partielle destinée à raccorder deux surfaces formant un angle rentrant.</w:t>
      </w: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  <w:r w:rsidRPr="003A0961">
        <w:rPr>
          <w:rFonts w:ascii="Arial" w:hAnsi="Arial" w:cs="Arial"/>
          <w:b/>
          <w:bCs/>
          <w:u w:val="single"/>
        </w:rPr>
        <w:t>Dégagement :</w:t>
      </w:r>
      <w:r w:rsidRPr="003A0961">
        <w:rPr>
          <w:rFonts w:ascii="Arial" w:hAnsi="Arial" w:cs="Arial"/>
        </w:rPr>
        <w:t xml:space="preserve"> Usinage réalisé dans le fond d'un angle pour assurer un bon contact et faciliter un usinage.</w:t>
      </w: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  <w:r w:rsidRPr="003A0961">
        <w:rPr>
          <w:rFonts w:ascii="Arial" w:hAnsi="Arial" w:cs="Arial"/>
          <w:b/>
          <w:bCs/>
          <w:u w:val="single"/>
        </w:rPr>
        <w:t>Embase :</w:t>
      </w:r>
      <w:r w:rsidRPr="003A0961">
        <w:rPr>
          <w:rFonts w:ascii="Arial" w:hAnsi="Arial" w:cs="Arial"/>
        </w:rPr>
        <w:t xml:space="preserve"> Elément d'une pièce destiné à servir de base (appui).</w:t>
      </w: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  <w:r w:rsidRPr="003A0961">
        <w:rPr>
          <w:rFonts w:ascii="Arial" w:hAnsi="Arial" w:cs="Arial"/>
          <w:b/>
          <w:bCs/>
          <w:u w:val="single"/>
        </w:rPr>
        <w:t>Epaulement :</w:t>
      </w:r>
      <w:r w:rsidRPr="003A0961">
        <w:rPr>
          <w:rFonts w:ascii="Arial" w:hAnsi="Arial" w:cs="Arial"/>
        </w:rPr>
        <w:t xml:space="preserve"> Changement de la section d'une pièce par usinage pour obtenir une surface d'appui.</w:t>
      </w: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  <w:r w:rsidRPr="003A0961">
        <w:rPr>
          <w:rFonts w:ascii="Arial" w:hAnsi="Arial" w:cs="Arial"/>
          <w:b/>
          <w:bCs/>
          <w:u w:val="single"/>
        </w:rPr>
        <w:t>Evidement :</w:t>
      </w:r>
      <w:r w:rsidRPr="003A0961">
        <w:rPr>
          <w:rFonts w:ascii="Arial" w:hAnsi="Arial" w:cs="Arial"/>
        </w:rPr>
        <w:t>Vide prévu dans une pièce pour en diminuer le poids ou en réduire une surface d'appui.</w:t>
      </w: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  <w:r w:rsidRPr="00B82461">
        <w:rPr>
          <w:rFonts w:ascii="Arial" w:hAnsi="Arial" w:cs="Arial"/>
          <w:b/>
          <w:bCs/>
          <w:highlight w:val="yellow"/>
          <w:u w:val="single"/>
        </w:rPr>
        <w:t>Filetage :</w:t>
      </w:r>
      <w:r w:rsidRPr="003A0961">
        <w:rPr>
          <w:rFonts w:ascii="Arial" w:hAnsi="Arial" w:cs="Arial"/>
        </w:rPr>
        <w:t xml:space="preserve"> Usinage hélicoïdal extérieur qui permet, grâce à sa pièce femelle, de réaliser une liaison.</w:t>
      </w: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  <w:r w:rsidRPr="003A0961">
        <w:rPr>
          <w:rFonts w:ascii="Arial" w:hAnsi="Arial" w:cs="Arial"/>
          <w:b/>
          <w:bCs/>
          <w:u w:val="single"/>
        </w:rPr>
        <w:t>Fraisure :</w:t>
      </w:r>
      <w:r w:rsidRPr="003A0961">
        <w:rPr>
          <w:rFonts w:ascii="Arial" w:hAnsi="Arial" w:cs="Arial"/>
        </w:rPr>
        <w:t xml:space="preserve"> Usinage conique réalisé à l'entrée d'un perçage destiné à recevoir la tête d'une vis.</w:t>
      </w: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  <w:r w:rsidRPr="003A0961">
        <w:rPr>
          <w:rFonts w:ascii="Arial" w:hAnsi="Arial" w:cs="Arial"/>
          <w:b/>
          <w:bCs/>
          <w:u w:val="single"/>
        </w:rPr>
        <w:t>Gorge :</w:t>
      </w:r>
      <w:r w:rsidR="003A0961">
        <w:rPr>
          <w:rFonts w:ascii="Arial" w:hAnsi="Arial" w:cs="Arial"/>
          <w:b/>
          <w:bCs/>
          <w:u w:val="single"/>
        </w:rPr>
        <w:t xml:space="preserve"> </w:t>
      </w:r>
      <w:r w:rsidRPr="003A0961">
        <w:rPr>
          <w:rFonts w:ascii="Arial" w:hAnsi="Arial" w:cs="Arial"/>
        </w:rPr>
        <w:t>Usinage dans une pièce cylindrique souvent destiné à recevoir un anneau élastique ou un joint d'étanchéité.</w:t>
      </w: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  <w:r w:rsidRPr="003A0961">
        <w:rPr>
          <w:rFonts w:ascii="Arial" w:hAnsi="Arial" w:cs="Arial"/>
          <w:b/>
          <w:bCs/>
          <w:u w:val="single"/>
        </w:rPr>
        <w:t>Lamage :</w:t>
      </w:r>
      <w:r w:rsidRPr="003A0961">
        <w:rPr>
          <w:rFonts w:ascii="Arial" w:hAnsi="Arial" w:cs="Arial"/>
        </w:rPr>
        <w:t xml:space="preserve"> Logement cylindrique généralement destiné à "noyer" (cacher) la tête d'une vis.</w:t>
      </w: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  <w:r w:rsidRPr="00B82461">
        <w:rPr>
          <w:rFonts w:ascii="Arial" w:hAnsi="Arial" w:cs="Arial"/>
          <w:b/>
          <w:bCs/>
          <w:highlight w:val="yellow"/>
          <w:u w:val="single"/>
        </w:rPr>
        <w:t>Méplat :</w:t>
      </w:r>
      <w:r w:rsidRPr="003A0961">
        <w:rPr>
          <w:rFonts w:ascii="Arial" w:hAnsi="Arial" w:cs="Arial"/>
        </w:rPr>
        <w:t xml:space="preserve"> Surface plane sur une pièce à section circulaire.</w:t>
      </w: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  <w:r w:rsidRPr="00B82461">
        <w:rPr>
          <w:rFonts w:ascii="Arial" w:hAnsi="Arial" w:cs="Arial"/>
          <w:b/>
          <w:bCs/>
          <w:highlight w:val="yellow"/>
          <w:u w:val="single"/>
        </w:rPr>
        <w:t>Nervure :</w:t>
      </w:r>
      <w:r w:rsidRPr="003A0961">
        <w:rPr>
          <w:rFonts w:ascii="Arial" w:hAnsi="Arial" w:cs="Arial"/>
        </w:rPr>
        <w:t xml:space="preserve"> Partie saillante d'une pièce la rigidité</w:t>
      </w: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  <w:r w:rsidRPr="003A0961">
        <w:rPr>
          <w:rFonts w:ascii="Arial" w:hAnsi="Arial" w:cs="Arial"/>
          <w:b/>
          <w:bCs/>
          <w:u w:val="single"/>
        </w:rPr>
        <w:t>Perçage :</w:t>
      </w:r>
      <w:r w:rsidRPr="003A0961">
        <w:rPr>
          <w:rFonts w:ascii="Arial" w:hAnsi="Arial" w:cs="Arial"/>
        </w:rPr>
        <w:t xml:space="preserve"> Trou, débouchant ou non, généralement réalisé avec un foret à extrémité pointue.</w:t>
      </w: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  <w:b/>
          <w:bCs/>
          <w:u w:val="single"/>
        </w:rPr>
      </w:pPr>
      <w:r w:rsidRPr="003A0961">
        <w:rPr>
          <w:rFonts w:ascii="Arial" w:hAnsi="Arial" w:cs="Arial"/>
          <w:b/>
          <w:bCs/>
          <w:u w:val="single"/>
        </w:rPr>
        <w:t>Perçage borgne :</w:t>
      </w:r>
      <w:r w:rsidRPr="003A0961">
        <w:rPr>
          <w:rFonts w:ascii="Arial" w:hAnsi="Arial" w:cs="Arial"/>
        </w:rPr>
        <w:t>C'est un perçage (ou taraudage) qui ne traverse pas complètement la pièce.</w:t>
      </w: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  <w:r w:rsidRPr="003A0961">
        <w:rPr>
          <w:rFonts w:ascii="Arial" w:hAnsi="Arial" w:cs="Arial"/>
          <w:b/>
          <w:bCs/>
          <w:u w:val="single"/>
        </w:rPr>
        <w:t>Rainure :</w:t>
      </w:r>
      <w:r w:rsidRPr="003A0961">
        <w:rPr>
          <w:rFonts w:ascii="Arial" w:hAnsi="Arial" w:cs="Arial"/>
        </w:rPr>
        <w:t xml:space="preserve"> Entaille longue dans une pièce pour recevoir une languette</w:t>
      </w: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  <w:r w:rsidRPr="00B82461">
        <w:rPr>
          <w:rFonts w:ascii="Arial" w:hAnsi="Arial" w:cs="Arial"/>
          <w:b/>
          <w:bCs/>
          <w:noProof/>
          <w:highlight w:val="yellow"/>
          <w:u w:val="single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4653280</wp:posOffset>
            </wp:positionH>
            <wp:positionV relativeFrom="paragraph">
              <wp:posOffset>280670</wp:posOffset>
            </wp:positionV>
            <wp:extent cx="1381125" cy="1266825"/>
            <wp:effectExtent l="19050" t="0" r="9525" b="0"/>
            <wp:wrapNone/>
            <wp:docPr id="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2461">
        <w:rPr>
          <w:rFonts w:ascii="Arial" w:hAnsi="Arial" w:cs="Arial"/>
          <w:b/>
          <w:bCs/>
          <w:highlight w:val="yellow"/>
          <w:u w:val="single"/>
        </w:rPr>
        <w:t>Taraudage :</w:t>
      </w:r>
      <w:r w:rsidRPr="003A0961">
        <w:rPr>
          <w:rFonts w:ascii="Arial" w:hAnsi="Arial" w:cs="Arial"/>
        </w:rPr>
        <w:t xml:space="preserve"> Usinage hélicoïdal intérieur qui permet, grâce à l'assemblage avec une pièce filetée,  de réaliser une liaison.</w:t>
      </w: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  <w:r w:rsidRPr="00B82461">
        <w:rPr>
          <w:rFonts w:ascii="Arial" w:hAnsi="Arial" w:cs="Arial"/>
          <w:b/>
          <w:bCs/>
          <w:highlight w:val="yellow"/>
          <w:u w:val="single"/>
        </w:rPr>
        <w:t>Trou Oblong :</w:t>
      </w:r>
      <w:r w:rsidRPr="003A0961">
        <w:rPr>
          <w:rFonts w:ascii="Arial" w:hAnsi="Arial" w:cs="Arial"/>
        </w:rPr>
        <w:t xml:space="preserve"> Trou de forme allongée, terminé par deux demi-cylindres. </w:t>
      </w: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</w:rPr>
      </w:pPr>
    </w:p>
    <w:p w:rsidR="00457C1E" w:rsidRPr="003A0961" w:rsidRDefault="00457C1E" w:rsidP="00457C1E">
      <w:pPr>
        <w:pStyle w:val="Sansinterligne"/>
        <w:jc w:val="both"/>
        <w:rPr>
          <w:rFonts w:ascii="Arial" w:hAnsi="Arial" w:cs="Arial"/>
          <w:color w:val="252525"/>
        </w:rPr>
      </w:pPr>
      <w:r w:rsidRPr="003A0961">
        <w:rPr>
          <w:rFonts w:ascii="Arial" w:hAnsi="Arial" w:cs="Arial"/>
          <w:b/>
          <w:bCs/>
          <w:u w:val="single"/>
        </w:rPr>
        <w:t>Clavette :</w:t>
      </w:r>
      <w:r w:rsidR="003A0961">
        <w:rPr>
          <w:rFonts w:ascii="Arial" w:hAnsi="Arial" w:cs="Arial"/>
          <w:b/>
          <w:bCs/>
          <w:u w:val="single"/>
        </w:rPr>
        <w:t xml:space="preserve"> </w:t>
      </w:r>
      <w:r w:rsidRPr="003A0961">
        <w:rPr>
          <w:rFonts w:ascii="Arial" w:hAnsi="Arial" w:cs="Arial"/>
          <w:color w:val="252525"/>
        </w:rPr>
        <w:t>Pièce qui a pour fonction de lier en rotation deux pièces.</w:t>
      </w:r>
    </w:p>
    <w:p w:rsidR="00525163" w:rsidRPr="003A0961" w:rsidRDefault="00D36117" w:rsidP="003A0961">
      <w:pPr>
        <w:pStyle w:val="Sansinterligne"/>
        <w:jc w:val="both"/>
        <w:rPr>
          <w:color w:val="252525"/>
        </w:rPr>
      </w:pPr>
      <w:r w:rsidRPr="00D36117">
        <w:rPr>
          <w:b/>
          <w:bCs/>
          <w:noProof/>
          <w:u w:val="single"/>
          <w:lang w:eastAsia="fr-FR"/>
        </w:rPr>
        <w:pict>
          <v:rect id="_x0000_s1038" style="position:absolute;left:0;text-align:left;margin-left:221.65pt;margin-top:13.45pt;width:35.25pt;height:19.5pt;z-index:251669504" stroked="f"/>
        </w:pict>
      </w:r>
      <w:r w:rsidRPr="00D36117">
        <w:rPr>
          <w:b/>
          <w:bCs/>
          <w:noProof/>
          <w:u w:val="single"/>
        </w:rPr>
        <w:pict>
          <v:rect id="_x0000_s1037" style="position:absolute;left:0;text-align:left;margin-left:-14.85pt;margin-top:-73.8pt;width:552.75pt;height:65.25pt;z-index:-251650048" strokecolor="white [3212]"/>
        </w:pict>
      </w:r>
    </w:p>
    <w:sectPr w:rsidR="00525163" w:rsidRPr="003A0961" w:rsidSect="00A81909">
      <w:footerReference w:type="default" r:id="rId12"/>
      <w:pgSz w:w="11906" w:h="16838"/>
      <w:pgMar w:top="568" w:right="991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25F7" w:rsidRDefault="002825F7" w:rsidP="00B0712C">
      <w:pPr>
        <w:spacing w:after="0" w:line="240" w:lineRule="auto"/>
      </w:pPr>
      <w:r>
        <w:separator/>
      </w:r>
    </w:p>
  </w:endnote>
  <w:endnote w:type="continuationSeparator" w:id="1">
    <w:p w:rsidR="002825F7" w:rsidRDefault="002825F7" w:rsidP="00B07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93748400"/>
      <w:docPartObj>
        <w:docPartGallery w:val="Page Numbers (Bottom of Page)"/>
        <w:docPartUnique/>
      </w:docPartObj>
    </w:sdtPr>
    <w:sdtContent>
      <w:p w:rsidR="00B0712C" w:rsidRDefault="00D36117">
        <w:pPr>
          <w:pStyle w:val="Pieddepage"/>
          <w:jc w:val="center"/>
        </w:pPr>
        <w:r>
          <w:fldChar w:fldCharType="begin"/>
        </w:r>
        <w:r w:rsidR="00B0712C">
          <w:instrText>PAGE   \* MERGEFORMAT</w:instrText>
        </w:r>
        <w:r>
          <w:fldChar w:fldCharType="separate"/>
        </w:r>
        <w:r w:rsidR="00B82461">
          <w:rPr>
            <w:noProof/>
          </w:rPr>
          <w:t>1</w:t>
        </w:r>
        <w:r>
          <w:fldChar w:fldCharType="end"/>
        </w:r>
        <w:r w:rsidR="00B0712C">
          <w:t>/2</w:t>
        </w:r>
      </w:p>
    </w:sdtContent>
  </w:sdt>
  <w:p w:rsidR="00B0712C" w:rsidRDefault="00B0712C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25F7" w:rsidRDefault="002825F7" w:rsidP="00B0712C">
      <w:pPr>
        <w:spacing w:after="0" w:line="240" w:lineRule="auto"/>
      </w:pPr>
      <w:r>
        <w:separator/>
      </w:r>
    </w:p>
  </w:footnote>
  <w:footnote w:type="continuationSeparator" w:id="1">
    <w:p w:rsidR="002825F7" w:rsidRDefault="002825F7" w:rsidP="00B071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BE0C2F"/>
    <w:multiLevelType w:val="hybridMultilevel"/>
    <w:tmpl w:val="CD8AD81C"/>
    <w:lvl w:ilvl="0" w:tplc="84F052E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73582F"/>
    <w:multiLevelType w:val="hybridMultilevel"/>
    <w:tmpl w:val="7E420E30"/>
    <w:lvl w:ilvl="0" w:tplc="29E8161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6E0F2A"/>
    <w:multiLevelType w:val="hybridMultilevel"/>
    <w:tmpl w:val="413E65D4"/>
    <w:lvl w:ilvl="0" w:tplc="E78A18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DD5AA5"/>
    <w:multiLevelType w:val="hybridMultilevel"/>
    <w:tmpl w:val="845C5B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2323"/>
    <w:rsid w:val="000C2BD6"/>
    <w:rsid w:val="000F129E"/>
    <w:rsid w:val="001614EB"/>
    <w:rsid w:val="001F7E0A"/>
    <w:rsid w:val="002825F7"/>
    <w:rsid w:val="003A0961"/>
    <w:rsid w:val="003A7E4E"/>
    <w:rsid w:val="003E4F5E"/>
    <w:rsid w:val="00457C1E"/>
    <w:rsid w:val="004D5837"/>
    <w:rsid w:val="00525163"/>
    <w:rsid w:val="00574C42"/>
    <w:rsid w:val="006B2122"/>
    <w:rsid w:val="006C57B1"/>
    <w:rsid w:val="006F1AF9"/>
    <w:rsid w:val="007222AA"/>
    <w:rsid w:val="008D1C86"/>
    <w:rsid w:val="00A15E01"/>
    <w:rsid w:val="00A81909"/>
    <w:rsid w:val="00A95CDB"/>
    <w:rsid w:val="00AF5894"/>
    <w:rsid w:val="00B0712C"/>
    <w:rsid w:val="00B82461"/>
    <w:rsid w:val="00BA2323"/>
    <w:rsid w:val="00BC2D78"/>
    <w:rsid w:val="00C036FF"/>
    <w:rsid w:val="00C20D55"/>
    <w:rsid w:val="00C3472D"/>
    <w:rsid w:val="00C826B3"/>
    <w:rsid w:val="00D36117"/>
    <w:rsid w:val="00F330A0"/>
    <w:rsid w:val="00FE5F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7B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A23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BA232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A2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232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071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0712C"/>
  </w:style>
  <w:style w:type="paragraph" w:styleId="Pieddepage">
    <w:name w:val="footer"/>
    <w:basedOn w:val="Normal"/>
    <w:link w:val="PieddepageCar"/>
    <w:uiPriority w:val="99"/>
    <w:unhideWhenUsed/>
    <w:rsid w:val="00B071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712C"/>
  </w:style>
  <w:style w:type="paragraph" w:styleId="Sansinterligne">
    <w:name w:val="No Spacing"/>
    <w:uiPriority w:val="1"/>
    <w:qFormat/>
    <w:rsid w:val="00574C4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376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Morgane</dc:creator>
  <cp:lastModifiedBy>TVANDROUX</cp:lastModifiedBy>
  <cp:revision>4</cp:revision>
  <cp:lastPrinted>2022-09-03T13:25:00Z</cp:lastPrinted>
  <dcterms:created xsi:type="dcterms:W3CDTF">2022-09-03T13:16:00Z</dcterms:created>
  <dcterms:modified xsi:type="dcterms:W3CDTF">2022-10-02T13:35:00Z</dcterms:modified>
</cp:coreProperties>
</file>