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FD9A" w14:textId="77777777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Dosis-Bold" w:hAnsi="Dosis-Bold" w:cs="Dosis-Bold"/>
          <w:b/>
          <w:bCs/>
          <w:color w:val="314A97"/>
          <w:sz w:val="36"/>
          <w:szCs w:val="36"/>
        </w:rPr>
      </w:pPr>
      <w:r>
        <w:rPr>
          <w:rFonts w:ascii="Dosis-Bold" w:hAnsi="Dosis-Bold" w:cs="Dosis-Bold"/>
          <w:b/>
          <w:bCs/>
          <w:color w:val="314A97"/>
          <w:sz w:val="36"/>
          <w:szCs w:val="36"/>
        </w:rPr>
        <w:t>Aération et évacuation des fumées</w:t>
      </w:r>
    </w:p>
    <w:p w14:paraId="21296BAA" w14:textId="4F793B9D" w:rsidR="00907BA4" w:rsidRDefault="00EF5447" w:rsidP="00EF544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1"/>
          <w:szCs w:val="21"/>
        </w:rPr>
      </w:pPr>
      <w:r>
        <w:rPr>
          <w:rFonts w:ascii="MyriadPro-Regular" w:hAnsi="MyriadPro-Regular" w:cs="MyriadPro-Regular"/>
          <w:color w:val="000000"/>
          <w:sz w:val="21"/>
          <w:szCs w:val="21"/>
        </w:rPr>
        <w:t xml:space="preserve">L’aération et l’évacuation des fumées en cas de détection d’incendie sont réalisées à l’aide d’un dôme de toit de 140 </w:t>
      </w:r>
      <w:r>
        <w:rPr>
          <w:rFonts w:ascii="SymbolStd" w:eastAsia="SymbolStd" w:hAnsi="Dosis-Bold" w:cs="SymbolStd" w:hint="eastAsia"/>
          <w:color w:val="000000"/>
          <w:sz w:val="21"/>
          <w:szCs w:val="21"/>
        </w:rPr>
        <w:t>×</w:t>
      </w:r>
      <w:r>
        <w:rPr>
          <w:rFonts w:ascii="SymbolStd" w:eastAsia="SymbolStd" w:hAnsi="Dosis-Bold" w:cs="SymbolStd"/>
          <w:color w:val="000000"/>
          <w:sz w:val="21"/>
          <w:szCs w:val="21"/>
        </w:rPr>
        <w:t xml:space="preserve"> </w:t>
      </w:r>
      <w:r>
        <w:rPr>
          <w:rFonts w:ascii="MyriadPro-Regular" w:hAnsi="MyriadPro-Regular" w:cs="MyriadPro-Regular"/>
          <w:color w:val="000000"/>
          <w:sz w:val="21"/>
          <w:szCs w:val="21"/>
        </w:rPr>
        <w:t>140 cm</w:t>
      </w:r>
      <w:r>
        <w:rPr>
          <w:rFonts w:ascii="MyriadPro-Regular" w:hAnsi="MyriadPro-Regular" w:cs="MyriadPro-Regular"/>
          <w:color w:val="000000"/>
          <w:sz w:val="21"/>
          <w:szCs w:val="21"/>
        </w:rPr>
        <w:t xml:space="preserve"> </w:t>
      </w:r>
      <w:r>
        <w:rPr>
          <w:rFonts w:ascii="MyriadPro-Regular" w:hAnsi="MyriadPro-Regular" w:cs="MyriadPro-Regular"/>
          <w:color w:val="000000"/>
          <w:sz w:val="21"/>
          <w:szCs w:val="21"/>
        </w:rPr>
        <w:t xml:space="preserve">muni d’un vitrage de type </w:t>
      </w:r>
      <w:proofErr w:type="gramStart"/>
      <w:r>
        <w:rPr>
          <w:rFonts w:ascii="MyriadPro-Regular" w:hAnsi="MyriadPro-Regular" w:cs="MyriadPro-Regular"/>
          <w:color w:val="000000"/>
          <w:sz w:val="21"/>
          <w:szCs w:val="21"/>
        </w:rPr>
        <w:t>S.PC</w:t>
      </w:r>
      <w:proofErr w:type="gramEnd"/>
      <w:r>
        <w:rPr>
          <w:rFonts w:ascii="MyriadPro-Regular" w:hAnsi="MyriadPro-Regular" w:cs="MyriadPro-Regular"/>
          <w:color w:val="000000"/>
          <w:sz w:val="21"/>
          <w:szCs w:val="21"/>
        </w:rPr>
        <w:t>16. La masse de ce dernier représente 22,2 % de la masse de l’ensemble du dôme.</w:t>
      </w:r>
    </w:p>
    <w:p w14:paraId="78F0DB2F" w14:textId="65ACEC60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1"/>
          <w:szCs w:val="21"/>
        </w:rPr>
      </w:pPr>
    </w:p>
    <w:p w14:paraId="18089951" w14:textId="5ABDB2EC" w:rsidR="00EF5447" w:rsidRDefault="00EF5447" w:rsidP="00EF5447">
      <w:pPr>
        <w:autoSpaceDE w:val="0"/>
        <w:autoSpaceDN w:val="0"/>
        <w:adjustRightInd w:val="0"/>
        <w:spacing w:after="0" w:line="240" w:lineRule="auto"/>
      </w:pPr>
      <w:r w:rsidRPr="00EF5447">
        <w:drawing>
          <wp:inline distT="0" distB="0" distL="0" distR="0" wp14:anchorId="6F4E4BDE" wp14:editId="3A348A56">
            <wp:extent cx="5760720" cy="1527810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A4C8D" w14:textId="3A888CF8" w:rsidR="00EF5447" w:rsidRPr="00E269E3" w:rsidRDefault="006E6325" w:rsidP="00E269E3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>1</w:t>
      </w:r>
      <w:r>
        <w:rPr>
          <w:rFonts w:ascii="LinotypeGothicCom-Bold" w:hAnsi="LinotypeGothicCom-Bold" w:cs="LinotypeGothicCom-Bold"/>
          <w:b/>
          <w:bCs/>
          <w:color w:val="009EE1"/>
        </w:rPr>
        <w:t>.</w:t>
      </w:r>
      <w:r>
        <w:rPr>
          <w:rFonts w:ascii="LinotypeGothicCom-Bold" w:hAnsi="LinotypeGothicCom-Bold" w:cs="LinotypeGothicCom-Bold"/>
          <w:b/>
          <w:bCs/>
          <w:color w:val="009EE1"/>
        </w:rPr>
        <w:t xml:space="preserve"> </w:t>
      </w:r>
      <w:r w:rsidR="00EF5447" w:rsidRPr="00E269E3">
        <w:rPr>
          <w:rFonts w:ascii="LinotypeGothicCom-Regular" w:hAnsi="LinotypeGothicCom-Regular" w:cs="LinotypeGothicCom-Regular"/>
          <w:color w:val="000000"/>
        </w:rPr>
        <w:t xml:space="preserve">Calculer le poids </w:t>
      </w:r>
      <w:r w:rsidR="00EF5447" w:rsidRPr="00E269E3">
        <w:rPr>
          <w:rFonts w:ascii="LinotypeGothicCom-Italic" w:hAnsi="LinotypeGothicCom-Italic" w:cs="LinotypeGothicCom-Italic"/>
          <w:i/>
          <w:iCs/>
          <w:color w:val="000000"/>
        </w:rPr>
        <w:t xml:space="preserve">P </w:t>
      </w:r>
      <w:r w:rsidR="00EF5447" w:rsidRPr="00E269E3">
        <w:rPr>
          <w:rFonts w:ascii="LinotypeGothicCom-Regular" w:hAnsi="LinotypeGothicCom-Regular" w:cs="LinotypeGothicCom-Regular"/>
          <w:color w:val="000000"/>
        </w:rPr>
        <w:t xml:space="preserve">(en N) du vitrage. </w:t>
      </w:r>
    </w:p>
    <w:p w14:paraId="763D891E" w14:textId="77777777" w:rsidR="00E269E3" w:rsidRPr="00E269E3" w:rsidRDefault="00E269E3" w:rsidP="00E269E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LinotypeGothicCom-Bold" w:hAnsi="LinotypeGothicCom-Bold" w:cs="LinotypeGothicCom-Bold"/>
          <w:b/>
          <w:bCs/>
          <w:color w:val="000000"/>
        </w:rPr>
      </w:pPr>
    </w:p>
    <w:p w14:paraId="24B133F6" w14:textId="6C21BE8C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Regular" w:hAnsi="LinotypeGothicCom-Regular" w:cs="LinotypeGothicCom-Regular"/>
          <w:color w:val="000000"/>
        </w:rPr>
        <w:t>La représentation du dôme dans une position ouverte est visible ci-dessous.</w:t>
      </w:r>
    </w:p>
    <w:p w14:paraId="65980508" w14:textId="0300BC0C" w:rsidR="00EF5447" w:rsidRDefault="00EF5447" w:rsidP="00EF5447">
      <w:pPr>
        <w:autoSpaceDE w:val="0"/>
        <w:autoSpaceDN w:val="0"/>
        <w:adjustRightInd w:val="0"/>
        <w:spacing w:after="0" w:line="240" w:lineRule="auto"/>
        <w:jc w:val="center"/>
        <w:rPr>
          <w:rFonts w:ascii="LinotypeGothicCom-Regular" w:hAnsi="LinotypeGothicCom-Regular" w:cs="LinotypeGothicCom-Regular"/>
          <w:color w:val="000000"/>
        </w:rPr>
      </w:pPr>
      <w:r w:rsidRPr="00EF5447">
        <w:rPr>
          <w:rFonts w:ascii="LinotypeGothicCom-Regular" w:hAnsi="LinotypeGothicCom-Regular" w:cs="LinotypeGothicCom-Regular"/>
          <w:color w:val="000000"/>
        </w:rPr>
        <w:drawing>
          <wp:inline distT="0" distB="0" distL="0" distR="0" wp14:anchorId="03B06DAA" wp14:editId="143463F6">
            <wp:extent cx="1408853" cy="1593088"/>
            <wp:effectExtent l="3175" t="0" r="444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21426" cy="160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D903" w14:textId="77777777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 xml:space="preserve">2. </w:t>
      </w:r>
      <w:r>
        <w:rPr>
          <w:rFonts w:ascii="LinotypeGothicCom-Regular" w:hAnsi="LinotypeGothicCom-Regular" w:cs="LinotypeGothicCom-Regular"/>
          <w:color w:val="000000"/>
        </w:rPr>
        <w:t xml:space="preserve">Sur la </w:t>
      </w:r>
      <w:r>
        <w:rPr>
          <w:rFonts w:ascii="LinotypeGothicCom-Bold" w:hAnsi="LinotypeGothicCom-Bold" w:cs="LinotypeGothicCom-Bold"/>
          <w:b/>
          <w:bCs/>
          <w:color w:val="E67B00"/>
        </w:rPr>
        <w:t>figure 2</w:t>
      </w:r>
      <w:r>
        <w:rPr>
          <w:rFonts w:ascii="LinotypeGothicCom-Regular" w:hAnsi="LinotypeGothicCom-Regular" w:cs="LinotypeGothicCom-Regular"/>
          <w:color w:val="000000"/>
        </w:rPr>
        <w:t>, placer le vecteur représentant le poids du dôme.</w:t>
      </w:r>
    </w:p>
    <w:p w14:paraId="53547180" w14:textId="6C4B039F" w:rsidR="006E6325" w:rsidRDefault="006E6325" w:rsidP="00EF5447">
      <w:pPr>
        <w:autoSpaceDE w:val="0"/>
        <w:autoSpaceDN w:val="0"/>
        <w:adjustRightInd w:val="0"/>
        <w:spacing w:after="0" w:line="240" w:lineRule="auto"/>
        <w:rPr>
          <w:rFonts w:ascii="LinotypeGothicCom-Bold" w:hAnsi="LinotypeGothicCom-Bold" w:cs="LinotypeGothicCom-Bold"/>
          <w:b/>
          <w:bCs/>
          <w:color w:val="009EE1"/>
        </w:rPr>
      </w:pPr>
    </w:p>
    <w:p w14:paraId="2CC9CD0F" w14:textId="6B3109DE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 xml:space="preserve">3. </w:t>
      </w:r>
      <w:r>
        <w:rPr>
          <w:rFonts w:ascii="LinotypeGothicCom-Regular" w:hAnsi="LinotypeGothicCom-Regular" w:cs="LinotypeGothicCom-Regular"/>
          <w:color w:val="000000"/>
        </w:rPr>
        <w:t xml:space="preserve">Isoler le système </w:t>
      </w:r>
      <w:r>
        <w:rPr>
          <w:rFonts w:ascii="LinotypeGothicCom-Bold" w:hAnsi="LinotypeGothicCom-Bold" w:cs="LinotypeGothicCom-Bold"/>
          <w:b/>
          <w:bCs/>
          <w:color w:val="000000"/>
        </w:rPr>
        <w:t>{2+3}</w:t>
      </w:r>
      <w:r>
        <w:rPr>
          <w:rFonts w:ascii="LinotypeGothicCom-Regular" w:hAnsi="LinotypeGothicCom-Regular" w:cs="LinotypeGothicCom-Regular"/>
          <w:color w:val="000000"/>
        </w:rPr>
        <w:t>, indiquer le nombre d’actions mécaniques appliquées sur le système.</w:t>
      </w:r>
    </w:p>
    <w:p w14:paraId="756F27EC" w14:textId="59CA7FD1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1418"/>
        <w:gridCol w:w="283"/>
        <w:gridCol w:w="1560"/>
        <w:gridCol w:w="283"/>
        <w:gridCol w:w="1559"/>
        <w:gridCol w:w="236"/>
        <w:gridCol w:w="2027"/>
      </w:tblGrid>
      <w:tr w:rsidR="006E6325" w14:paraId="3F5C843F" w14:textId="77777777" w:rsidTr="006E6325">
        <w:tc>
          <w:tcPr>
            <w:tcW w:w="1413" w:type="dxa"/>
            <w:tcBorders>
              <w:right w:val="single" w:sz="8" w:space="0" w:color="000000" w:themeColor="text1"/>
            </w:tcBorders>
          </w:tcPr>
          <w:p w14:paraId="32B1A92F" w14:textId="77777777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B44DA9" w14:textId="77777777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B3B01ED" w14:textId="6D85F9EF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3596FA" w14:textId="19CC3C89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56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4143837" w14:textId="47D22535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D7E6E" w14:textId="77777777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EA823E4" w14:textId="63EA44EF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75CB2D" w14:textId="77777777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2027" w:type="dxa"/>
            <w:tcBorders>
              <w:left w:val="single" w:sz="8" w:space="0" w:color="000000" w:themeColor="text1"/>
            </w:tcBorders>
          </w:tcPr>
          <w:p w14:paraId="1900662D" w14:textId="2D636722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4</w:t>
            </w:r>
          </w:p>
        </w:tc>
      </w:tr>
    </w:tbl>
    <w:p w14:paraId="13BD9605" w14:textId="3CC5FDBF" w:rsidR="006E6325" w:rsidRDefault="006E6325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5FA69E83" w14:textId="597842D1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 xml:space="preserve">4. </w:t>
      </w:r>
      <w:r>
        <w:rPr>
          <w:rFonts w:ascii="LinotypeGothicCom-Regular" w:hAnsi="LinotypeGothicCom-Regular" w:cs="LinotypeGothicCom-Regular"/>
          <w:color w:val="000000"/>
        </w:rPr>
        <w:t>Citer le PFS se rapportant à ce cas de figure.</w:t>
      </w:r>
    </w:p>
    <w:p w14:paraId="75A81FFE" w14:textId="306488CB" w:rsidR="006E6325" w:rsidRDefault="006E6325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05EEF8F5" w14:textId="62CF518E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 xml:space="preserve">5. </w:t>
      </w:r>
      <w:r>
        <w:rPr>
          <w:rFonts w:ascii="LinotypeGothicCom-Regular" w:hAnsi="LinotypeGothicCom-Regular" w:cs="LinotypeGothicCom-Regular"/>
          <w:color w:val="000000"/>
        </w:rPr>
        <w:t>Compléter le tableau suivant (Noms, Point d’application, Direction).</w:t>
      </w:r>
      <w:r w:rsidR="006E6325">
        <w:rPr>
          <w:rFonts w:ascii="LinotypeGothicCom-Regular" w:hAnsi="LinotypeGothicCom-Regular" w:cs="LinotypeGothicCom-Regular"/>
          <w:color w:val="000000"/>
        </w:rPr>
        <w:t xml:space="preserve"> </w:t>
      </w:r>
    </w:p>
    <w:p w14:paraId="0F59833F" w14:textId="17230E81" w:rsidR="006E6325" w:rsidRDefault="006E6325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 w:rsidRPr="00EF5447">
        <w:rPr>
          <w:rFonts w:ascii="LinotypeGothicCom-Regular" w:hAnsi="LinotypeGothicCom-Regular" w:cs="LinotypeGothicCom-Regular"/>
          <w:color w:val="000000"/>
        </w:rPr>
        <w:drawing>
          <wp:anchor distT="0" distB="0" distL="114300" distR="114300" simplePos="0" relativeHeight="251658240" behindDoc="0" locked="0" layoutInCell="1" allowOverlap="1" wp14:anchorId="0D836EC0" wp14:editId="4ACFEF1D">
            <wp:simplePos x="0" y="0"/>
            <wp:positionH relativeFrom="margin">
              <wp:align>right</wp:align>
            </wp:positionH>
            <wp:positionV relativeFrom="paragraph">
              <wp:posOffset>486410</wp:posOffset>
            </wp:positionV>
            <wp:extent cx="2195830" cy="2734310"/>
            <wp:effectExtent l="0" t="254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" r="11314"/>
                    <a:stretch/>
                  </pic:blipFill>
                  <pic:spPr bwMode="auto">
                    <a:xfrm rot="16200000">
                      <a:off x="0" y="0"/>
                      <a:ext cx="2195830" cy="273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auGrille4-Accentuation5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E6325" w14:paraId="4721841B" w14:textId="77777777" w:rsidTr="006E6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7FD34AD" w14:textId="64E1FA01" w:rsidR="006E6325" w:rsidRDefault="006E6325" w:rsidP="006E6325">
            <w:pPr>
              <w:autoSpaceDE w:val="0"/>
              <w:autoSpaceDN w:val="0"/>
              <w:adjustRightInd w:val="0"/>
              <w:jc w:val="center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Noms</w:t>
            </w:r>
          </w:p>
        </w:tc>
        <w:tc>
          <w:tcPr>
            <w:tcW w:w="1812" w:type="dxa"/>
          </w:tcPr>
          <w:p w14:paraId="37DAA1B2" w14:textId="6C412CF2" w:rsidR="006E6325" w:rsidRDefault="006E6325" w:rsidP="006E632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Pt d’application</w:t>
            </w:r>
          </w:p>
        </w:tc>
        <w:tc>
          <w:tcPr>
            <w:tcW w:w="1812" w:type="dxa"/>
          </w:tcPr>
          <w:p w14:paraId="597A0321" w14:textId="3C15D7DA" w:rsidR="006E6325" w:rsidRDefault="006E6325" w:rsidP="006E632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Direction</w:t>
            </w:r>
          </w:p>
        </w:tc>
        <w:tc>
          <w:tcPr>
            <w:tcW w:w="1813" w:type="dxa"/>
          </w:tcPr>
          <w:p w14:paraId="38D6DE2F" w14:textId="252CE9A2" w:rsidR="006E6325" w:rsidRDefault="006E6325" w:rsidP="006E632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Sens</w:t>
            </w:r>
          </w:p>
        </w:tc>
        <w:tc>
          <w:tcPr>
            <w:tcW w:w="1813" w:type="dxa"/>
          </w:tcPr>
          <w:p w14:paraId="261678B5" w14:textId="05E22D46" w:rsidR="006E6325" w:rsidRDefault="006E6325" w:rsidP="006E632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Norme</w:t>
            </w:r>
          </w:p>
        </w:tc>
      </w:tr>
      <w:tr w:rsidR="006E6325" w14:paraId="2112F47E" w14:textId="77777777" w:rsidTr="006E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BD5DD2B" w14:textId="77777777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0692A0E7" w14:textId="77777777" w:rsidR="006E6325" w:rsidRDefault="006E6325" w:rsidP="00EF544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42336F25" w14:textId="77777777" w:rsidR="006E6325" w:rsidRDefault="006E6325" w:rsidP="00EF544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4A3BC53E" w14:textId="77777777" w:rsidR="006E6325" w:rsidRDefault="006E6325" w:rsidP="00EF544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720ABD74" w14:textId="77777777" w:rsidR="006E6325" w:rsidRDefault="006E6325" w:rsidP="00EF544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</w:tr>
      <w:tr w:rsidR="006E6325" w14:paraId="584ADAF2" w14:textId="77777777" w:rsidTr="006E6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F3A483B" w14:textId="77777777" w:rsidR="006E6325" w:rsidRDefault="006E6325" w:rsidP="00EF544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29F2040F" w14:textId="77777777" w:rsidR="006E6325" w:rsidRDefault="006E6325" w:rsidP="00EF544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44927A68" w14:textId="77777777" w:rsidR="006E6325" w:rsidRDefault="006E6325" w:rsidP="00EF544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426EC225" w14:textId="77777777" w:rsidR="006E6325" w:rsidRDefault="006E6325" w:rsidP="00EF544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2E1AE188" w14:textId="77777777" w:rsidR="006E6325" w:rsidRDefault="006E6325" w:rsidP="00EF544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</w:tr>
    </w:tbl>
    <w:p w14:paraId="3B953FAC" w14:textId="5807DB29" w:rsidR="006E6325" w:rsidRDefault="006E6325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2D592FE7" w14:textId="13036EE1" w:rsidR="006E6325" w:rsidRDefault="006E6325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7EDB4DDA" w14:textId="029A5435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>6</w:t>
      </w:r>
      <w:r>
        <w:rPr>
          <w:rFonts w:ascii="LinotypeGothicCom-Bold" w:hAnsi="LinotypeGothicCom-Bold" w:cs="LinotypeGothicCom-Bold"/>
          <w:b/>
          <w:bCs/>
          <w:color w:val="009EE1"/>
        </w:rPr>
        <w:t xml:space="preserve">. </w:t>
      </w:r>
      <w:r>
        <w:rPr>
          <w:rFonts w:ascii="LinotypeGothicCom-Regular" w:hAnsi="LinotypeGothicCom-Regular" w:cs="LinotypeGothicCom-Regular"/>
          <w:color w:val="000000"/>
        </w:rPr>
        <w:t>Tracer ci-contre les directions des actions mécaniques appliquées</w:t>
      </w:r>
      <w:r>
        <w:rPr>
          <w:rFonts w:ascii="LinotypeGothicCom-Regular" w:hAnsi="LinotypeGothicCom-Regular" w:cs="LinotypeGothicCom-Regular"/>
          <w:color w:val="000000"/>
        </w:rPr>
        <w:t xml:space="preserve"> </w:t>
      </w:r>
      <w:r>
        <w:rPr>
          <w:rFonts w:ascii="LinotypeGothicCom-Regular" w:hAnsi="LinotypeGothicCom-Regular" w:cs="LinotypeGothicCom-Regular"/>
          <w:color w:val="000000"/>
        </w:rPr>
        <w:t>sur cet ensemble.</w:t>
      </w:r>
      <w:r w:rsidRPr="006E6325">
        <w:rPr>
          <w:rFonts w:ascii="LinotypeGothicCom-Regular" w:hAnsi="LinotypeGothicCom-Regular" w:cs="LinotypeGothicCom-Regular"/>
          <w:color w:val="000000"/>
        </w:rPr>
        <w:t xml:space="preserve"> </w:t>
      </w:r>
    </w:p>
    <w:p w14:paraId="2513FAC9" w14:textId="49EDD6C8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445599B6" w14:textId="3DF9D9D8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352703F1" w14:textId="34CF118A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06E09E92" w14:textId="72300CCB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3867CC12" w14:textId="010C9FFE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5C627165" w14:textId="47A50A48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21884240" w14:textId="03625FC7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7001168E" w14:textId="77777777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5F120263" w14:textId="4CDCE09D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lastRenderedPageBreak/>
        <w:t xml:space="preserve">7. </w:t>
      </w:r>
      <w:r>
        <w:rPr>
          <w:rFonts w:ascii="LinotypeGothicCom-Regular" w:hAnsi="LinotypeGothicCom-Regular" w:cs="LinotypeGothicCom-Regular"/>
          <w:color w:val="000000"/>
        </w:rPr>
        <w:t>Isoler 1, donner le nombre d’actions mécaniques appliquées</w:t>
      </w:r>
      <w:r>
        <w:rPr>
          <w:rFonts w:ascii="LinotypeGothicCom-Regular" w:hAnsi="LinotypeGothicCom-Regular" w:cs="LinotypeGothicCom-Regular"/>
          <w:color w:val="000000"/>
        </w:rPr>
        <w:t xml:space="preserve"> </w:t>
      </w:r>
      <w:r>
        <w:rPr>
          <w:rFonts w:ascii="LinotypeGothicCom-Regular" w:hAnsi="LinotypeGothicCom-Regular" w:cs="LinotypeGothicCom-Regular"/>
          <w:color w:val="000000"/>
        </w:rPr>
        <w:t>sur le système.</w:t>
      </w:r>
    </w:p>
    <w:p w14:paraId="50A1D0FC" w14:textId="6ADB273D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1418"/>
        <w:gridCol w:w="283"/>
        <w:gridCol w:w="1560"/>
        <w:gridCol w:w="283"/>
        <w:gridCol w:w="1559"/>
        <w:gridCol w:w="236"/>
        <w:gridCol w:w="2027"/>
      </w:tblGrid>
      <w:tr w:rsidR="006E6325" w14:paraId="5CEAE571" w14:textId="77777777" w:rsidTr="001224A7">
        <w:tc>
          <w:tcPr>
            <w:tcW w:w="1413" w:type="dxa"/>
            <w:tcBorders>
              <w:right w:val="single" w:sz="8" w:space="0" w:color="000000" w:themeColor="text1"/>
            </w:tcBorders>
          </w:tcPr>
          <w:p w14:paraId="05BC5B93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11C5FC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418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2E51523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68A937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56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F30AA74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7E734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F3D7F2B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3</w:t>
            </w:r>
          </w:p>
        </w:tc>
        <w:tc>
          <w:tcPr>
            <w:tcW w:w="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48731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2027" w:type="dxa"/>
            <w:tcBorders>
              <w:left w:val="single" w:sz="8" w:space="0" w:color="000000" w:themeColor="text1"/>
            </w:tcBorders>
          </w:tcPr>
          <w:p w14:paraId="31030BDD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4</w:t>
            </w:r>
          </w:p>
        </w:tc>
      </w:tr>
    </w:tbl>
    <w:p w14:paraId="32DFB198" w14:textId="107F3B8A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65B73852" w14:textId="02EBE6F5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 xml:space="preserve">8. </w:t>
      </w:r>
      <w:r>
        <w:rPr>
          <w:rFonts w:ascii="LinotypeGothicCom-Regular" w:hAnsi="LinotypeGothicCom-Regular" w:cs="LinotypeGothicCom-Regular"/>
          <w:color w:val="000000"/>
        </w:rPr>
        <w:t>Citer le PFS se rapportant à ce cas de figure.</w:t>
      </w:r>
    </w:p>
    <w:p w14:paraId="2F080944" w14:textId="4B6B88E4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6DEB32F5" w14:textId="1ADD1748" w:rsidR="006E6325" w:rsidRDefault="006E6325" w:rsidP="006E6325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 xml:space="preserve">9. </w:t>
      </w:r>
      <w:r>
        <w:rPr>
          <w:rFonts w:ascii="LinotypeGothicCom-Regular" w:hAnsi="LinotypeGothicCom-Regular" w:cs="LinotypeGothicCom-Regular"/>
          <w:color w:val="000000"/>
        </w:rPr>
        <w:t>Compléter le tableau suivant (Noms, Direction).</w:t>
      </w:r>
    </w:p>
    <w:p w14:paraId="30CA0E42" w14:textId="77777777" w:rsidR="006E6325" w:rsidRDefault="006E6325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tbl>
      <w:tblPr>
        <w:tblStyle w:val="TableauGrille4-Accentuation5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E6325" w14:paraId="13927B0E" w14:textId="77777777" w:rsidTr="00122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FAA3E54" w14:textId="77777777" w:rsidR="006E6325" w:rsidRDefault="006E6325" w:rsidP="001224A7">
            <w:pPr>
              <w:autoSpaceDE w:val="0"/>
              <w:autoSpaceDN w:val="0"/>
              <w:adjustRightInd w:val="0"/>
              <w:jc w:val="center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Noms</w:t>
            </w:r>
          </w:p>
        </w:tc>
        <w:tc>
          <w:tcPr>
            <w:tcW w:w="1812" w:type="dxa"/>
          </w:tcPr>
          <w:p w14:paraId="51260D48" w14:textId="77777777" w:rsidR="006E6325" w:rsidRDefault="006E6325" w:rsidP="001224A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Pt d’application</w:t>
            </w:r>
          </w:p>
        </w:tc>
        <w:tc>
          <w:tcPr>
            <w:tcW w:w="1812" w:type="dxa"/>
          </w:tcPr>
          <w:p w14:paraId="3BD86B28" w14:textId="77777777" w:rsidR="006E6325" w:rsidRDefault="006E6325" w:rsidP="001224A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Direction</w:t>
            </w:r>
          </w:p>
        </w:tc>
        <w:tc>
          <w:tcPr>
            <w:tcW w:w="1813" w:type="dxa"/>
          </w:tcPr>
          <w:p w14:paraId="7893BBDD" w14:textId="77777777" w:rsidR="006E6325" w:rsidRDefault="006E6325" w:rsidP="001224A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Sens</w:t>
            </w:r>
          </w:p>
        </w:tc>
        <w:tc>
          <w:tcPr>
            <w:tcW w:w="1813" w:type="dxa"/>
          </w:tcPr>
          <w:p w14:paraId="569B016C" w14:textId="77777777" w:rsidR="006E6325" w:rsidRDefault="006E6325" w:rsidP="001224A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  <w:r>
              <w:rPr>
                <w:rFonts w:ascii="LinotypeGothicCom-Regular" w:hAnsi="LinotypeGothicCom-Regular" w:cs="LinotypeGothicCom-Regular"/>
                <w:color w:val="000000"/>
              </w:rPr>
              <w:t>Norme</w:t>
            </w:r>
          </w:p>
        </w:tc>
      </w:tr>
      <w:tr w:rsidR="006E6325" w14:paraId="44325571" w14:textId="77777777" w:rsidTr="00122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587945C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6D538A2D" w14:textId="77777777" w:rsidR="006E6325" w:rsidRDefault="006E6325" w:rsidP="001224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38E8CAD2" w14:textId="77777777" w:rsidR="006E6325" w:rsidRDefault="006E6325" w:rsidP="001224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55B9B879" w14:textId="77777777" w:rsidR="006E6325" w:rsidRDefault="006E6325" w:rsidP="001224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50E6E029" w14:textId="77777777" w:rsidR="006E6325" w:rsidRDefault="006E6325" w:rsidP="001224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</w:tr>
      <w:tr w:rsidR="006E6325" w14:paraId="2D0DC1AB" w14:textId="77777777" w:rsidTr="001224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A04B401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017A700C" w14:textId="77777777" w:rsidR="006E6325" w:rsidRDefault="006E6325" w:rsidP="001224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51291C21" w14:textId="77777777" w:rsidR="006E6325" w:rsidRDefault="006E6325" w:rsidP="001224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3128F86E" w14:textId="77777777" w:rsidR="006E6325" w:rsidRDefault="006E6325" w:rsidP="001224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0BCF5C1F" w14:textId="77777777" w:rsidR="006E6325" w:rsidRDefault="006E6325" w:rsidP="001224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</w:tr>
      <w:tr w:rsidR="006E6325" w14:paraId="5BDDB3F7" w14:textId="77777777" w:rsidTr="00122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DE8C81C" w14:textId="77777777" w:rsidR="006E6325" w:rsidRDefault="006E6325" w:rsidP="001224A7">
            <w:pPr>
              <w:autoSpaceDE w:val="0"/>
              <w:autoSpaceDN w:val="0"/>
              <w:adjustRightInd w:val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4651C5D8" w14:textId="77777777" w:rsidR="006E6325" w:rsidRDefault="006E6325" w:rsidP="001224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2" w:type="dxa"/>
          </w:tcPr>
          <w:p w14:paraId="4A1FC9FB" w14:textId="77777777" w:rsidR="006E6325" w:rsidRDefault="006E6325" w:rsidP="001224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40948C35" w14:textId="77777777" w:rsidR="006E6325" w:rsidRDefault="006E6325" w:rsidP="001224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  <w:tc>
          <w:tcPr>
            <w:tcW w:w="1813" w:type="dxa"/>
          </w:tcPr>
          <w:p w14:paraId="1DD3A7EB" w14:textId="77777777" w:rsidR="006E6325" w:rsidRDefault="006E6325" w:rsidP="001224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otypeGothicCom-Regular" w:hAnsi="LinotypeGothicCom-Regular" w:cs="LinotypeGothicCom-Regular"/>
                <w:color w:val="000000"/>
              </w:rPr>
            </w:pPr>
          </w:p>
        </w:tc>
      </w:tr>
    </w:tbl>
    <w:p w14:paraId="147DDE1D" w14:textId="77777777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427A1EA4" w14:textId="61F65BA8" w:rsidR="00EF5447" w:rsidRDefault="00EF5447" w:rsidP="00EF5447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43273351" w14:textId="54E317E0" w:rsidR="00EF5447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 xml:space="preserve">10. </w:t>
      </w:r>
      <w:r>
        <w:rPr>
          <w:rFonts w:ascii="LinotypeGothicCom-Regular" w:hAnsi="LinotypeGothicCom-Regular" w:cs="LinotypeGothicCom-Regular"/>
          <w:color w:val="000000"/>
        </w:rPr>
        <w:t>Tracer ci-dessous les directions des</w:t>
      </w:r>
      <w:r>
        <w:rPr>
          <w:rFonts w:ascii="LinotypeGothicCom-Regular" w:hAnsi="LinotypeGothicCom-Regular" w:cs="LinotypeGothicCom-Regular"/>
          <w:color w:val="000000"/>
        </w:rPr>
        <w:t xml:space="preserve"> </w:t>
      </w:r>
      <w:r>
        <w:rPr>
          <w:rFonts w:ascii="LinotypeGothicCom-Regular" w:hAnsi="LinotypeGothicCom-Regular" w:cs="LinotypeGothicCom-Regular"/>
          <w:color w:val="000000"/>
        </w:rPr>
        <w:t>actions mécaniques appliquées sur</w:t>
      </w:r>
      <w:r>
        <w:rPr>
          <w:rFonts w:ascii="LinotypeGothicCom-Regular" w:hAnsi="LinotypeGothicCom-Regular" w:cs="LinotypeGothicCom-Regular"/>
          <w:color w:val="000000"/>
        </w:rPr>
        <w:t xml:space="preserve"> </w:t>
      </w:r>
      <w:r>
        <w:rPr>
          <w:rFonts w:ascii="LinotypeGothicCom-Regular" w:hAnsi="LinotypeGothicCom-Regular" w:cs="LinotypeGothicCom-Regular"/>
          <w:color w:val="000000"/>
        </w:rPr>
        <w:t>cet ensemble et déterminer le point</w:t>
      </w:r>
      <w:r>
        <w:rPr>
          <w:rFonts w:ascii="LinotypeGothicCom-Regular" w:hAnsi="LinotypeGothicCom-Regular" w:cs="LinotypeGothicCom-Regular"/>
          <w:color w:val="000000"/>
        </w:rPr>
        <w:t xml:space="preserve"> </w:t>
      </w:r>
      <w:r>
        <w:rPr>
          <w:rFonts w:ascii="LinotypeGothicCom-Regular" w:hAnsi="LinotypeGothicCom-Regular" w:cs="LinotypeGothicCom-Regular"/>
          <w:color w:val="000000"/>
        </w:rPr>
        <w:t>d’intersection de ces forces.</w:t>
      </w:r>
    </w:p>
    <w:p w14:paraId="6123EAFE" w14:textId="4A7B6E9E" w:rsidR="00EF5447" w:rsidRDefault="00E269E3" w:rsidP="00E269E3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Regular" w:hAnsi="LinotypeGothicCom-Regular" w:cs="LinotypeGothicCom-Regular"/>
          <w:color w:val="000000"/>
        </w:rPr>
        <w:tab/>
      </w:r>
    </w:p>
    <w:p w14:paraId="203F5D30" w14:textId="57BC7C90" w:rsidR="00E269E3" w:rsidRDefault="00E269E3" w:rsidP="00E269E3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4AB9E20F" w14:textId="58222A72" w:rsidR="000472CE" w:rsidRPr="000472CE" w:rsidRDefault="000472CE" w:rsidP="000472CE"/>
    <w:p w14:paraId="31C33ED1" w14:textId="2A4DA4E1" w:rsidR="000472CE" w:rsidRPr="000472CE" w:rsidRDefault="000472CE" w:rsidP="000472CE"/>
    <w:p w14:paraId="7FBB141E" w14:textId="67450224" w:rsidR="000472CE" w:rsidRPr="000472CE" w:rsidRDefault="000472CE" w:rsidP="000472CE">
      <w:r w:rsidRPr="00EF5447">
        <w:rPr>
          <w:rFonts w:ascii="LinotypeGothicCom-Regular" w:hAnsi="LinotypeGothicCom-Regular" w:cs="LinotypeGothicCom-Regular"/>
          <w:color w:val="000000"/>
        </w:rPr>
        <w:drawing>
          <wp:anchor distT="0" distB="0" distL="114300" distR="114300" simplePos="0" relativeHeight="251660288" behindDoc="0" locked="0" layoutInCell="1" allowOverlap="1" wp14:anchorId="50BA00C6" wp14:editId="5D7004D4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2195830" cy="2734310"/>
            <wp:effectExtent l="0" t="254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" r="11314"/>
                    <a:stretch/>
                  </pic:blipFill>
                  <pic:spPr bwMode="auto">
                    <a:xfrm rot="16200000">
                      <a:off x="0" y="0"/>
                      <a:ext cx="2195830" cy="273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8F1A0" w14:textId="72BA781D" w:rsidR="000472CE" w:rsidRPr="000472CE" w:rsidRDefault="000472CE" w:rsidP="000472CE"/>
    <w:p w14:paraId="769EED70" w14:textId="4A07DA19" w:rsidR="000472CE" w:rsidRPr="000472CE" w:rsidRDefault="000472CE" w:rsidP="000472CE"/>
    <w:p w14:paraId="2A46C707" w14:textId="784E1821" w:rsidR="000472CE" w:rsidRPr="000472CE" w:rsidRDefault="000472CE" w:rsidP="000472CE"/>
    <w:p w14:paraId="670099DB" w14:textId="1D1B47BE" w:rsidR="000472CE" w:rsidRPr="000472CE" w:rsidRDefault="000472CE" w:rsidP="000472CE"/>
    <w:p w14:paraId="3A9C0E0E" w14:textId="0FD3F43F" w:rsidR="000472CE" w:rsidRPr="000472CE" w:rsidRDefault="000472CE" w:rsidP="000472CE"/>
    <w:p w14:paraId="514DE176" w14:textId="33CF5E22" w:rsidR="000472CE" w:rsidRPr="000472CE" w:rsidRDefault="000472CE" w:rsidP="000472CE"/>
    <w:p w14:paraId="355B1844" w14:textId="02BEC159" w:rsidR="000472CE" w:rsidRPr="000472CE" w:rsidRDefault="000472CE" w:rsidP="000472CE"/>
    <w:p w14:paraId="6B0C223C" w14:textId="4B8A4CC3" w:rsidR="000472CE" w:rsidRPr="000472CE" w:rsidRDefault="000472CE" w:rsidP="000472CE"/>
    <w:p w14:paraId="13AFB414" w14:textId="569C1192" w:rsidR="000472CE" w:rsidRDefault="000472CE" w:rsidP="000472CE"/>
    <w:p w14:paraId="3C5AF19F" w14:textId="14ABC8D2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  <w:r>
        <w:rPr>
          <w:rFonts w:ascii="LinotypeGothicCom-Bold" w:hAnsi="LinotypeGothicCom-Bold" w:cs="LinotypeGothicCom-Bold"/>
          <w:b/>
          <w:bCs/>
          <w:noProof/>
          <w:color w:val="009EE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B806E" wp14:editId="52CEAC25">
                <wp:simplePos x="0" y="0"/>
                <wp:positionH relativeFrom="column">
                  <wp:posOffset>5043805</wp:posOffset>
                </wp:positionH>
                <wp:positionV relativeFrom="paragraph">
                  <wp:posOffset>7620</wp:posOffset>
                </wp:positionV>
                <wp:extent cx="0" cy="1876425"/>
                <wp:effectExtent l="95250" t="0" r="76200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4C08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397.15pt;margin-top:.6pt;width:0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LinotypeGothicCom-Bold" w:hAnsi="LinotypeGothicCom-Bold" w:cs="LinotypeGothicCom-Bold"/>
          <w:b/>
          <w:bCs/>
          <w:color w:val="009EE1"/>
        </w:rPr>
        <w:t xml:space="preserve">11. </w:t>
      </w:r>
      <w:r>
        <w:rPr>
          <w:rFonts w:ascii="LinotypeGothicCom-Regular" w:hAnsi="LinotypeGothicCom-Regular" w:cs="LinotypeGothicCom-Regular"/>
          <w:color w:val="000000"/>
        </w:rPr>
        <w:t>Tracer le triangle des forces puis compléter les tableaux des questions</w:t>
      </w:r>
      <w:r>
        <w:rPr>
          <w:rFonts w:ascii="LinotypeGothicCom-Regular" w:hAnsi="LinotypeGothicCom-Regular" w:cs="LinotypeGothicCom-Regular"/>
          <w:color w:val="000000"/>
        </w:rPr>
        <w:t xml:space="preserve"> </w:t>
      </w:r>
      <w:r>
        <w:rPr>
          <w:rFonts w:ascii="LinotypeGothicCom-Regular" w:hAnsi="LinotypeGothicCom-Regular" w:cs="LinotypeGothicCom-Regular"/>
          <w:color w:val="000000"/>
        </w:rPr>
        <w:t>5 et 9.</w:t>
      </w:r>
    </w:p>
    <w:p w14:paraId="2A11A742" w14:textId="024A545D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78932EE7" w14:textId="2F98D18D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2F661F68" w14:textId="7BCFA4C1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67F0875B" w14:textId="1185A905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4FB1DB10" w14:textId="752DE221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7C490CB6" w14:textId="1979A4B8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6AB0F165" w14:textId="2129A5A1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55C3E794" w14:textId="57980DA7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7F50A74A" w14:textId="542ECA1A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  <w:color w:val="000000"/>
        </w:rPr>
      </w:pPr>
    </w:p>
    <w:p w14:paraId="220C29FA" w14:textId="5DAED810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</w:rPr>
      </w:pPr>
      <w:r>
        <w:rPr>
          <w:rFonts w:ascii="LinotypeGothicCom-Bold" w:hAnsi="LinotypeGothicCom-Bold" w:cs="LinotypeGothicCom-Bold"/>
          <w:b/>
          <w:bCs/>
          <w:color w:val="009EE1"/>
        </w:rPr>
        <w:t>12.</w:t>
      </w:r>
      <w:r>
        <w:rPr>
          <w:rFonts w:ascii="LinotypeGothicCom-Bold" w:hAnsi="LinotypeGothicCom-Bold" w:cs="LinotypeGothicCom-Bold"/>
          <w:b/>
          <w:bCs/>
          <w:color w:val="009EE1"/>
        </w:rPr>
        <w:t xml:space="preserve"> </w:t>
      </w:r>
      <w:r>
        <w:rPr>
          <w:rFonts w:ascii="LinotypeGothicCom-Regular" w:hAnsi="LinotypeGothicCom-Regular" w:cs="LinotypeGothicCom-Regular"/>
        </w:rPr>
        <w:t>Donner l’effort que doit fournir le vérin pour le maintien en position.</w:t>
      </w:r>
    </w:p>
    <w:p w14:paraId="17A3C8BD" w14:textId="0158B5DC" w:rsidR="000472CE" w:rsidRDefault="000472CE" w:rsidP="000472CE">
      <w:pPr>
        <w:autoSpaceDE w:val="0"/>
        <w:autoSpaceDN w:val="0"/>
        <w:adjustRightInd w:val="0"/>
        <w:spacing w:after="0" w:line="240" w:lineRule="auto"/>
        <w:rPr>
          <w:rFonts w:ascii="LinotypeGothicCom-Regular" w:hAnsi="LinotypeGothicCom-Regular" w:cs="LinotypeGothicCom-Regular"/>
        </w:rPr>
      </w:pPr>
    </w:p>
    <w:p w14:paraId="43455911" w14:textId="55C72689" w:rsidR="000472CE" w:rsidRPr="000472CE" w:rsidRDefault="000472CE" w:rsidP="000472CE">
      <w:pPr>
        <w:autoSpaceDE w:val="0"/>
        <w:autoSpaceDN w:val="0"/>
        <w:adjustRightInd w:val="0"/>
        <w:spacing w:after="0" w:line="240" w:lineRule="auto"/>
      </w:pPr>
      <w:r w:rsidRPr="000472CE">
        <w:rPr>
          <w:rFonts w:ascii="LinotypeGothicCom-Bold" w:hAnsi="LinotypeGothicCom-Bold" w:cs="LinotypeGothicCom-Bold"/>
          <w:b/>
          <w:bCs/>
          <w:color w:val="009EE1"/>
        </w:rPr>
        <w:t>Conclusion :</w:t>
      </w:r>
      <w:r>
        <w:rPr>
          <w:rFonts w:ascii="LinotypeGothicCom-Regular" w:hAnsi="LinotypeGothicCom-Regular" w:cs="LinotypeGothicCom-Regular"/>
        </w:rPr>
        <w:t xml:space="preserve"> Le vérin du dôme de toit utilisé peut fournir un effort de 200N, Convient-il ?</w:t>
      </w:r>
    </w:p>
    <w:sectPr w:rsidR="000472CE" w:rsidRPr="0004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notypeGothicCom-Bold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sis-Bold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Std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LinotypeGothicCom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notypeGothicCom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DD8"/>
    <w:multiLevelType w:val="hybridMultilevel"/>
    <w:tmpl w:val="F2846D88"/>
    <w:lvl w:ilvl="0" w:tplc="F272A608">
      <w:start w:val="1"/>
      <w:numFmt w:val="decimal"/>
      <w:lvlText w:val="%1."/>
      <w:lvlJc w:val="left"/>
      <w:pPr>
        <w:ind w:left="720" w:hanging="360"/>
      </w:pPr>
      <w:rPr>
        <w:rFonts w:ascii="LinotypeGothicCom-Bold" w:hAnsi="LinotypeGothicCom-Bold" w:cs="LinotypeGothicCom-Bold" w:hint="default"/>
        <w:b/>
        <w:color w:val="009EE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77B9"/>
    <w:multiLevelType w:val="hybridMultilevel"/>
    <w:tmpl w:val="39D06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5703">
    <w:abstractNumId w:val="0"/>
  </w:num>
  <w:num w:numId="2" w16cid:durableId="174086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47"/>
    <w:rsid w:val="000472CE"/>
    <w:rsid w:val="006E6325"/>
    <w:rsid w:val="00907BA4"/>
    <w:rsid w:val="00E269E3"/>
    <w:rsid w:val="00E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52F5"/>
  <w15:chartTrackingRefBased/>
  <w15:docId w15:val="{A2BBF4BA-9CA7-4E5B-A5D5-5301D38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69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6E63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dcterms:created xsi:type="dcterms:W3CDTF">2023-01-04T11:51:00Z</dcterms:created>
  <dcterms:modified xsi:type="dcterms:W3CDTF">2023-01-06T10:57:00Z</dcterms:modified>
</cp:coreProperties>
</file>