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0E938" w14:textId="77777777" w:rsidR="00ED3D54" w:rsidRDefault="00ED3D54">
      <w:pPr>
        <w:rPr>
          <w:rFonts w:eastAsiaTheme="minorEastAsia"/>
          <w:sz w:val="24"/>
          <w:szCs w:val="24"/>
        </w:rPr>
      </w:pPr>
    </w:p>
    <w:p w14:paraId="0D451547" w14:textId="1EBC4933" w:rsidR="00CE40FD" w:rsidRDefault="00ED3D54">
      <w:pPr>
        <w:rPr>
          <w:rFonts w:eastAsiaTheme="minorEastAsia"/>
          <w:sz w:val="24"/>
          <w:szCs w:val="24"/>
        </w:rPr>
      </w:pPr>
      <w:r>
        <w:rPr>
          <w:rFonts w:eastAsiaTheme="minorEastAsia"/>
          <w:sz w:val="24"/>
          <w:szCs w:val="24"/>
        </w:rPr>
        <w:t>Nécessité de stocker l’énergie :</w:t>
      </w:r>
    </w:p>
    <w:p w14:paraId="60103BD6" w14:textId="77777777" w:rsidR="00ED3D54" w:rsidRDefault="00ED3D54" w:rsidP="00ED3D54">
      <w:pPr>
        <w:rPr>
          <w:rFonts w:eastAsiaTheme="minorEastAsia"/>
          <w:sz w:val="24"/>
          <w:szCs w:val="24"/>
        </w:rPr>
      </w:pPr>
    </w:p>
    <w:p w14:paraId="75634E39" w14:textId="130FCBF5" w:rsidR="00ED3D54" w:rsidRDefault="00ED3D54" w:rsidP="00ED3D54">
      <w:pPr>
        <w:rPr>
          <w:rFonts w:eastAsiaTheme="minorEastAsia"/>
          <w:sz w:val="24"/>
          <w:szCs w:val="24"/>
        </w:rPr>
      </w:pPr>
      <w:r>
        <w:rPr>
          <w:rFonts w:eastAsiaTheme="minorEastAsia"/>
          <w:sz w:val="24"/>
          <w:szCs w:val="24"/>
        </w:rPr>
        <w:t>Formulaire :</w:t>
      </w:r>
    </w:p>
    <w:p w14:paraId="36921F01" w14:textId="69D465AB" w:rsidR="00ED3D54" w:rsidRDefault="00ED3D54" w:rsidP="00ED3D54">
      <w:pPr>
        <w:rPr>
          <w:rFonts w:eastAsiaTheme="minorEastAsia"/>
          <w:sz w:val="24"/>
          <w:szCs w:val="24"/>
        </w:rPr>
      </w:pPr>
    </w:p>
    <w:p w14:paraId="144D44AA" w14:textId="734FE4AD" w:rsidR="00ED3D54" w:rsidRDefault="00ED3D54" w:rsidP="00ED3D54">
      <w:pPr>
        <w:rPr>
          <w:rFonts w:eastAsiaTheme="minorEastAsia"/>
          <w:sz w:val="24"/>
          <w:szCs w:val="24"/>
        </w:rPr>
      </w:pPr>
    </w:p>
    <w:p w14:paraId="5B04C685" w14:textId="6140B7F4" w:rsidR="00ED3D54" w:rsidRDefault="00ED3D54" w:rsidP="00ED3D54">
      <w:pPr>
        <w:rPr>
          <w:rFonts w:eastAsiaTheme="minorEastAsia"/>
          <w:sz w:val="24"/>
          <w:szCs w:val="24"/>
        </w:rPr>
      </w:pPr>
    </w:p>
    <w:p w14:paraId="0ADDEB1A" w14:textId="7E9107A7" w:rsidR="00ED3D54" w:rsidRDefault="00ED3D54" w:rsidP="00ED3D54">
      <w:pPr>
        <w:rPr>
          <w:rFonts w:eastAsiaTheme="minorEastAsia"/>
          <w:sz w:val="24"/>
          <w:szCs w:val="24"/>
        </w:rPr>
      </w:pPr>
    </w:p>
    <w:p w14:paraId="1CDF8F40" w14:textId="47874E36" w:rsidR="00ED3D54" w:rsidRDefault="00ED3D54" w:rsidP="00ED3D54">
      <w:pPr>
        <w:rPr>
          <w:rFonts w:eastAsiaTheme="minorEastAsia"/>
          <w:sz w:val="24"/>
          <w:szCs w:val="24"/>
        </w:rPr>
      </w:pPr>
    </w:p>
    <w:p w14:paraId="2CD03DCB" w14:textId="4BDF55DC" w:rsidR="00ED3D54" w:rsidRDefault="00ED3D54" w:rsidP="00ED3D54">
      <w:pPr>
        <w:rPr>
          <w:rFonts w:eastAsiaTheme="minorEastAsia"/>
          <w:sz w:val="24"/>
          <w:szCs w:val="24"/>
        </w:rPr>
      </w:pPr>
    </w:p>
    <w:p w14:paraId="51EDACD7" w14:textId="260C9EBB" w:rsidR="00ED3D54" w:rsidRDefault="00ED3D54" w:rsidP="00ED3D54">
      <w:pPr>
        <w:rPr>
          <w:rFonts w:eastAsiaTheme="minorEastAsia"/>
          <w:sz w:val="24"/>
          <w:szCs w:val="24"/>
        </w:rPr>
      </w:pPr>
    </w:p>
    <w:p w14:paraId="4D32319E" w14:textId="143080C1" w:rsidR="00ED3D54" w:rsidRDefault="00ED3D54" w:rsidP="00ED3D54">
      <w:pPr>
        <w:rPr>
          <w:rFonts w:eastAsiaTheme="minorEastAsia"/>
          <w:sz w:val="24"/>
          <w:szCs w:val="24"/>
        </w:rPr>
      </w:pPr>
      <w:r>
        <w:rPr>
          <w:rFonts w:eastAsiaTheme="minorEastAsia"/>
          <w:sz w:val="24"/>
          <w:szCs w:val="24"/>
        </w:rPr>
        <w:t>Association de batterie :</w:t>
      </w:r>
    </w:p>
    <w:p w14:paraId="23C822BD" w14:textId="4FE97018" w:rsidR="00ED3D54" w:rsidRDefault="00ED3D54" w:rsidP="00ED3D54">
      <w:pPr>
        <w:rPr>
          <w:rFonts w:eastAsiaTheme="minorEastAsia"/>
          <w:sz w:val="24"/>
          <w:szCs w:val="24"/>
        </w:rPr>
      </w:pPr>
    </w:p>
    <w:p w14:paraId="497E34D7" w14:textId="09BDFA12" w:rsidR="00ED3D54" w:rsidRDefault="00ED3D54" w:rsidP="00ED3D54">
      <w:pPr>
        <w:rPr>
          <w:rFonts w:eastAsiaTheme="minorEastAsia"/>
          <w:sz w:val="24"/>
          <w:szCs w:val="24"/>
        </w:rPr>
      </w:pPr>
    </w:p>
    <w:p w14:paraId="582F2F79" w14:textId="253D11DF" w:rsidR="00ED3D54" w:rsidRDefault="00ED3D54" w:rsidP="00ED3D54">
      <w:pPr>
        <w:rPr>
          <w:rFonts w:eastAsiaTheme="minorEastAsia"/>
          <w:sz w:val="24"/>
          <w:szCs w:val="24"/>
        </w:rPr>
      </w:pPr>
    </w:p>
    <w:p w14:paraId="32E3547B" w14:textId="562CBC90" w:rsidR="00ED3D54" w:rsidRPr="00ED3D54" w:rsidRDefault="00ED3D54" w:rsidP="00ED3D54">
      <w:pPr>
        <w:rPr>
          <w:rFonts w:eastAsiaTheme="minorEastAsia"/>
          <w:sz w:val="24"/>
          <w:szCs w:val="24"/>
        </w:rPr>
      </w:pPr>
    </w:p>
    <w:p w14:paraId="0D4ABDE7" w14:textId="0763F561" w:rsidR="00ED3D54" w:rsidRPr="00ED3D54" w:rsidRDefault="00ED3D54" w:rsidP="00ED3D54">
      <w:pPr>
        <w:rPr>
          <w:rFonts w:eastAsiaTheme="minorEastAsia"/>
          <w:sz w:val="24"/>
          <w:szCs w:val="24"/>
        </w:rPr>
      </w:pPr>
    </w:p>
    <w:p w14:paraId="20C92F08" w14:textId="611E0080" w:rsidR="00ED3D54" w:rsidRPr="00ED3D54" w:rsidRDefault="00ED3D54" w:rsidP="00ED3D54">
      <w:pPr>
        <w:rPr>
          <w:rFonts w:eastAsiaTheme="minorEastAsia"/>
          <w:sz w:val="24"/>
          <w:szCs w:val="24"/>
        </w:rPr>
      </w:pPr>
    </w:p>
    <w:p w14:paraId="570609FD" w14:textId="1DBA006F" w:rsidR="00ED3D54" w:rsidRPr="00ED3D54" w:rsidRDefault="00ED3D54" w:rsidP="00ED3D54">
      <w:pPr>
        <w:rPr>
          <w:rFonts w:eastAsiaTheme="minorEastAsia"/>
          <w:sz w:val="24"/>
          <w:szCs w:val="24"/>
        </w:rPr>
      </w:pPr>
    </w:p>
    <w:p w14:paraId="03AF6DC8" w14:textId="7C1341C2" w:rsidR="00ED3D54" w:rsidRDefault="00ED3D54" w:rsidP="00ED3D54">
      <w:pPr>
        <w:rPr>
          <w:rFonts w:eastAsiaTheme="minorEastAsia"/>
          <w:sz w:val="24"/>
          <w:szCs w:val="24"/>
        </w:rPr>
      </w:pPr>
    </w:p>
    <w:tbl>
      <w:tblPr>
        <w:tblStyle w:val="Grilledutableau"/>
        <w:tblW w:w="0" w:type="auto"/>
        <w:tblLook w:val="04A0" w:firstRow="1" w:lastRow="0" w:firstColumn="1" w:lastColumn="0" w:noHBand="0" w:noVBand="1"/>
      </w:tblPr>
      <w:tblGrid>
        <w:gridCol w:w="4130"/>
        <w:gridCol w:w="4942"/>
      </w:tblGrid>
      <w:tr w:rsidR="00ED3D54" w14:paraId="07E4FE1E" w14:textId="77777777" w:rsidTr="00ED3D54">
        <w:tc>
          <w:tcPr>
            <w:tcW w:w="4531" w:type="dxa"/>
            <w:tcBorders>
              <w:top w:val="nil"/>
              <w:left w:val="nil"/>
              <w:bottom w:val="nil"/>
              <w:right w:val="nil"/>
            </w:tcBorders>
            <w:vAlign w:val="center"/>
          </w:tcPr>
          <w:p w14:paraId="469379CE" w14:textId="333B4B01" w:rsidR="00ED3D54" w:rsidRDefault="00ED3D54" w:rsidP="00ED3D54">
            <w:pPr>
              <w:jc w:val="center"/>
              <w:rPr>
                <w:rFonts w:eastAsiaTheme="minorEastAsia"/>
                <w:sz w:val="24"/>
                <w:szCs w:val="24"/>
              </w:rPr>
            </w:pPr>
            <w:r w:rsidRPr="00ED3D54">
              <w:rPr>
                <w:rFonts w:eastAsiaTheme="minorEastAsia"/>
                <w:sz w:val="24"/>
                <w:szCs w:val="24"/>
              </w:rPr>
              <w:drawing>
                <wp:inline distT="0" distB="0" distL="0" distR="0" wp14:anchorId="04B924E8" wp14:editId="63514AB2">
                  <wp:extent cx="2524125" cy="17909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1574" cy="1810459"/>
                          </a:xfrm>
                          <a:prstGeom prst="rect">
                            <a:avLst/>
                          </a:prstGeom>
                        </pic:spPr>
                      </pic:pic>
                    </a:graphicData>
                  </a:graphic>
                </wp:inline>
              </w:drawing>
            </w:r>
          </w:p>
        </w:tc>
        <w:tc>
          <w:tcPr>
            <w:tcW w:w="4531" w:type="dxa"/>
            <w:tcBorders>
              <w:top w:val="nil"/>
              <w:left w:val="nil"/>
              <w:bottom w:val="nil"/>
              <w:right w:val="nil"/>
            </w:tcBorders>
            <w:vAlign w:val="center"/>
          </w:tcPr>
          <w:p w14:paraId="22B4A9DB" w14:textId="13169C16" w:rsidR="00ED3D54" w:rsidRDefault="00ED3D54" w:rsidP="00ED3D54">
            <w:pPr>
              <w:jc w:val="center"/>
              <w:rPr>
                <w:rFonts w:eastAsiaTheme="minorEastAsia"/>
                <w:sz w:val="24"/>
                <w:szCs w:val="24"/>
              </w:rPr>
            </w:pPr>
            <w:r w:rsidRPr="00ED3D54">
              <w:rPr>
                <w:rFonts w:eastAsiaTheme="minorEastAsia"/>
                <w:sz w:val="24"/>
                <w:szCs w:val="24"/>
              </w:rPr>
              <w:drawing>
                <wp:inline distT="0" distB="0" distL="0" distR="0" wp14:anchorId="656EB7D4" wp14:editId="0B9EFC85">
                  <wp:extent cx="3038475" cy="2711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269"/>
                          <a:stretch/>
                        </pic:blipFill>
                        <pic:spPr bwMode="auto">
                          <a:xfrm>
                            <a:off x="0" y="0"/>
                            <a:ext cx="3041214" cy="27138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7F3491" w14:textId="40AB75D7" w:rsidR="00ED3D54" w:rsidRDefault="00ED3D54" w:rsidP="00ED3D54">
      <w:pPr>
        <w:rPr>
          <w:rFonts w:eastAsiaTheme="minorEastAsia"/>
          <w:sz w:val="24"/>
          <w:szCs w:val="24"/>
        </w:rPr>
      </w:pPr>
      <w:r>
        <w:rPr>
          <w:rFonts w:eastAsiaTheme="minorEastAsia"/>
          <w:sz w:val="24"/>
          <w:szCs w:val="24"/>
        </w:rPr>
        <w:lastRenderedPageBreak/>
        <w:t>Applications :</w:t>
      </w:r>
    </w:p>
    <w:p w14:paraId="21C16DD9" w14:textId="23E4446D" w:rsidR="00ED3D54" w:rsidRPr="00ED3D54" w:rsidRDefault="00ED3D54" w:rsidP="00ED3D54">
      <w:pPr>
        <w:pStyle w:val="Paragraphedeliste"/>
        <w:numPr>
          <w:ilvl w:val="0"/>
          <w:numId w:val="1"/>
        </w:numPr>
        <w:rPr>
          <w:rFonts w:eastAsiaTheme="minorEastAsia"/>
          <w:sz w:val="24"/>
          <w:szCs w:val="24"/>
        </w:rPr>
      </w:pPr>
      <w:r w:rsidRPr="00ED3D54">
        <w:rPr>
          <w:rFonts w:eastAsiaTheme="minorEastAsia"/>
          <w:sz w:val="24"/>
          <w:szCs w:val="24"/>
        </w:rPr>
        <w:t>D'après les caractéristiques de la batterie ci-dessus, que valent sa capacité et sa tension nominales ?</w:t>
      </w:r>
      <w:r w:rsidRPr="00ED3D54">
        <w:rPr>
          <w:rFonts w:eastAsiaTheme="minorEastAsia"/>
          <w:sz w:val="24"/>
          <w:szCs w:val="24"/>
        </w:rPr>
        <w:t xml:space="preserve"> </w:t>
      </w:r>
      <w:r w:rsidRPr="00ED3D54">
        <w:rPr>
          <w:rFonts w:eastAsiaTheme="minorEastAsia"/>
          <w:sz w:val="24"/>
          <w:szCs w:val="24"/>
        </w:rPr>
        <w:t>et quel est sa technologie ?</w:t>
      </w:r>
    </w:p>
    <w:p w14:paraId="7E3BC6AA" w14:textId="16E58B38" w:rsidR="00ED3D54" w:rsidRPr="00ED3D54" w:rsidRDefault="00ED3D54" w:rsidP="00920779">
      <w:pPr>
        <w:ind w:left="708" w:firstLine="12"/>
        <w:rPr>
          <w:rFonts w:eastAsiaTheme="minorEastAsia"/>
          <w:sz w:val="24"/>
          <w:szCs w:val="24"/>
        </w:rPr>
      </w:pPr>
      <w:r w:rsidRPr="00ED3D54">
        <w:rPr>
          <w:rFonts w:eastAsiaTheme="minorEastAsia"/>
          <w:sz w:val="24"/>
          <w:szCs w:val="24"/>
        </w:rPr>
        <w:t>On veut dimensionner une batterie pour un appareil portable consommant 60mW pendant 10' par jour, le besoin en tension est de 9V.</w:t>
      </w:r>
      <w:r>
        <w:rPr>
          <w:rFonts w:eastAsiaTheme="minorEastAsia"/>
          <w:sz w:val="24"/>
          <w:szCs w:val="24"/>
        </w:rPr>
        <w:t xml:space="preserve"> </w:t>
      </w:r>
      <w:r w:rsidRPr="00ED3D54">
        <w:rPr>
          <w:rFonts w:eastAsiaTheme="minorEastAsia"/>
          <w:sz w:val="24"/>
          <w:szCs w:val="24"/>
        </w:rPr>
        <w:t>En utilisant la batterie ci-dessus, </w:t>
      </w:r>
      <w:r w:rsidRPr="00ED3D54">
        <w:rPr>
          <w:rFonts w:eastAsiaTheme="minorEastAsia"/>
          <w:sz w:val="24"/>
          <w:szCs w:val="24"/>
        </w:rPr>
        <w:t>concevoir</w:t>
      </w:r>
      <w:r w:rsidRPr="00ED3D54">
        <w:rPr>
          <w:rFonts w:eastAsiaTheme="minorEastAsia"/>
          <w:sz w:val="24"/>
          <w:szCs w:val="24"/>
        </w:rPr>
        <w:t xml:space="preserve"> une alimentation autonome sur 7 jours pour cet usage.</w:t>
      </w:r>
    </w:p>
    <w:p w14:paraId="1D63C176" w14:textId="49E2FCDD" w:rsidR="00ED3D54" w:rsidRPr="00ED3D54" w:rsidRDefault="00ED3D54" w:rsidP="00920779">
      <w:pPr>
        <w:ind w:left="708"/>
        <w:rPr>
          <w:rFonts w:eastAsiaTheme="minorEastAsia"/>
          <w:sz w:val="24"/>
          <w:szCs w:val="24"/>
        </w:rPr>
      </w:pPr>
      <w:r w:rsidRPr="00ED3D54">
        <w:rPr>
          <w:rFonts w:eastAsiaTheme="minorEastAsia"/>
          <w:sz w:val="24"/>
          <w:szCs w:val="24"/>
        </w:rPr>
        <w:t>On veut gérer la durée de vie de la batterie de notre appareil, en visant un nb de cycle de charge de 750,</w:t>
      </w:r>
      <w:r>
        <w:rPr>
          <w:rFonts w:eastAsiaTheme="minorEastAsia"/>
          <w:sz w:val="24"/>
          <w:szCs w:val="24"/>
        </w:rPr>
        <w:t xml:space="preserve"> </w:t>
      </w:r>
      <w:r w:rsidRPr="00ED3D54">
        <w:rPr>
          <w:rFonts w:eastAsiaTheme="minorEastAsia"/>
          <w:sz w:val="24"/>
          <w:szCs w:val="24"/>
        </w:rPr>
        <w:t>quelle est la profondeur de décharge à ne pas dépasser ?</w:t>
      </w:r>
      <w:r w:rsidRPr="00ED3D54">
        <w:rPr>
          <w:rFonts w:eastAsiaTheme="minorEastAsia"/>
          <w:sz w:val="24"/>
          <w:szCs w:val="24"/>
        </w:rPr>
        <w:br/>
        <w:t>quelle sera l'énergie réellement disponible ?</w:t>
      </w:r>
      <w:r w:rsidRPr="00ED3D54">
        <w:rPr>
          <w:rFonts w:eastAsiaTheme="minorEastAsia"/>
          <w:sz w:val="24"/>
          <w:szCs w:val="24"/>
        </w:rPr>
        <w:t xml:space="preserve"> </w:t>
      </w:r>
      <w:r w:rsidRPr="00ED3D54">
        <w:rPr>
          <w:rFonts w:eastAsiaTheme="minorEastAsia"/>
          <w:sz w:val="24"/>
          <w:szCs w:val="24"/>
        </w:rPr>
        <w:t xml:space="preserve">La batterie conçue à la question précédente </w:t>
      </w:r>
      <w:r w:rsidRPr="00ED3D54">
        <w:rPr>
          <w:rFonts w:eastAsiaTheme="minorEastAsia"/>
          <w:sz w:val="24"/>
          <w:szCs w:val="24"/>
        </w:rPr>
        <w:t>est-elle</w:t>
      </w:r>
      <w:r w:rsidRPr="00ED3D54">
        <w:rPr>
          <w:rFonts w:eastAsiaTheme="minorEastAsia"/>
          <w:sz w:val="24"/>
          <w:szCs w:val="24"/>
        </w:rPr>
        <w:t xml:space="preserve"> </w:t>
      </w:r>
      <w:r w:rsidR="00920779" w:rsidRPr="00ED3D54">
        <w:rPr>
          <w:rFonts w:eastAsiaTheme="minorEastAsia"/>
          <w:sz w:val="24"/>
          <w:szCs w:val="24"/>
        </w:rPr>
        <w:t>suffisante ?</w:t>
      </w:r>
    </w:p>
    <w:p w14:paraId="2ECD46B5" w14:textId="77777777" w:rsidR="00920779" w:rsidRDefault="00ED3D54" w:rsidP="00920779">
      <w:pPr>
        <w:pStyle w:val="Paragraphedeliste"/>
        <w:numPr>
          <w:ilvl w:val="0"/>
          <w:numId w:val="1"/>
        </w:numPr>
        <w:rPr>
          <w:rFonts w:eastAsiaTheme="minorEastAsia"/>
          <w:sz w:val="24"/>
          <w:szCs w:val="24"/>
        </w:rPr>
      </w:pPr>
      <w:r w:rsidRPr="00920779">
        <w:rPr>
          <w:rFonts w:eastAsiaTheme="minorEastAsia"/>
          <w:sz w:val="24"/>
          <w:szCs w:val="24"/>
        </w:rPr>
        <w:t>Le gyropode deux roues est équipé de deux roues motrices indépendantes entrainées chacune par un moteur de 300W et commandées par inclinaison des pieds, L’alimentation en énergie est assurée par une batterie 36</w:t>
      </w:r>
      <w:proofErr w:type="gramStart"/>
      <w:r w:rsidRPr="00920779">
        <w:rPr>
          <w:rFonts w:eastAsiaTheme="minorEastAsia"/>
          <w:sz w:val="24"/>
          <w:szCs w:val="24"/>
        </w:rPr>
        <w:t>V;</w:t>
      </w:r>
      <w:proofErr w:type="gramEnd"/>
      <w:r w:rsidRPr="00920779">
        <w:rPr>
          <w:rFonts w:eastAsiaTheme="minorEastAsia"/>
          <w:sz w:val="24"/>
          <w:szCs w:val="24"/>
        </w:rPr>
        <w:t xml:space="preserve"> 4,4 Ah.</w:t>
      </w:r>
      <w:r w:rsidRPr="00920779">
        <w:rPr>
          <w:rFonts w:eastAsiaTheme="minorEastAsia"/>
          <w:sz w:val="24"/>
          <w:szCs w:val="24"/>
        </w:rPr>
        <w:t xml:space="preserve"> </w:t>
      </w:r>
    </w:p>
    <w:p w14:paraId="761D9F33" w14:textId="43B14FB0" w:rsidR="00ED3D54" w:rsidRDefault="00ED3D54" w:rsidP="00920779">
      <w:pPr>
        <w:pStyle w:val="Paragraphedeliste"/>
        <w:rPr>
          <w:rFonts w:eastAsiaTheme="minorEastAsia"/>
          <w:sz w:val="24"/>
          <w:szCs w:val="24"/>
        </w:rPr>
      </w:pPr>
      <w:r w:rsidRPr="00920779">
        <w:rPr>
          <w:rFonts w:eastAsiaTheme="minorEastAsia"/>
          <w:sz w:val="24"/>
          <w:szCs w:val="24"/>
        </w:rPr>
        <w:t>A la vitesse de 10 km</w:t>
      </w:r>
      <w:r w:rsidR="00920779">
        <w:rPr>
          <w:rFonts w:eastAsiaTheme="minorEastAsia"/>
          <w:sz w:val="24"/>
          <w:szCs w:val="24"/>
        </w:rPr>
        <w:t>.</w:t>
      </w:r>
      <w:r w:rsidRPr="00920779">
        <w:rPr>
          <w:rFonts w:eastAsiaTheme="minorEastAsia"/>
          <w:sz w:val="24"/>
          <w:szCs w:val="24"/>
        </w:rPr>
        <w:t>h</w:t>
      </w:r>
      <w:r w:rsidRPr="00920779">
        <w:rPr>
          <w:rFonts w:eastAsiaTheme="minorEastAsia"/>
          <w:sz w:val="24"/>
          <w:szCs w:val="24"/>
          <w:vertAlign w:val="superscript"/>
        </w:rPr>
        <w:t>-1</w:t>
      </w:r>
      <w:r w:rsidRPr="00920779">
        <w:rPr>
          <w:rFonts w:eastAsiaTheme="minorEastAsia"/>
          <w:sz w:val="24"/>
          <w:szCs w:val="24"/>
        </w:rPr>
        <w:t>, en déplacement linéaire, les moteurs absorbent au total 100 W.</w:t>
      </w:r>
      <w:r w:rsidRPr="00920779">
        <w:rPr>
          <w:rFonts w:eastAsiaTheme="minorEastAsia"/>
          <w:sz w:val="24"/>
          <w:szCs w:val="24"/>
        </w:rPr>
        <w:t xml:space="preserve"> </w:t>
      </w:r>
      <w:r w:rsidRPr="00920779">
        <w:rPr>
          <w:rFonts w:eastAsiaTheme="minorEastAsia"/>
          <w:sz w:val="24"/>
          <w:szCs w:val="24"/>
        </w:rPr>
        <w:t>Calculer l’autonomie du véhicule (en temps et en kilomètre) pour une décharge à 80%</w:t>
      </w:r>
    </w:p>
    <w:p w14:paraId="044ADB66" w14:textId="46CF7DF8" w:rsidR="00920779" w:rsidRDefault="00920779" w:rsidP="00920779">
      <w:pPr>
        <w:pStyle w:val="Paragraphedeliste"/>
        <w:rPr>
          <w:rFonts w:eastAsiaTheme="minorEastAsia"/>
          <w:sz w:val="24"/>
          <w:szCs w:val="24"/>
        </w:rPr>
      </w:pPr>
    </w:p>
    <w:p w14:paraId="47F8C8B8" w14:textId="3CE8EB51" w:rsidR="00920779" w:rsidRPr="00920779" w:rsidRDefault="00920779" w:rsidP="00D1575F">
      <w:pPr>
        <w:pStyle w:val="Paragraphedeliste"/>
        <w:numPr>
          <w:ilvl w:val="0"/>
          <w:numId w:val="1"/>
        </w:numPr>
        <w:rPr>
          <w:rFonts w:eastAsiaTheme="minorEastAsia"/>
          <w:sz w:val="24"/>
          <w:szCs w:val="24"/>
        </w:rPr>
      </w:pPr>
      <w:r w:rsidRPr="00920779">
        <w:rPr>
          <w:rFonts w:eastAsiaTheme="minorEastAsia"/>
          <w:sz w:val="24"/>
          <w:szCs w:val="24"/>
        </w:rPr>
        <w:t>Pour le championnat du monde de F1, les constructeurs ont mis</w:t>
      </w:r>
      <w:r w:rsidRPr="00920779">
        <w:rPr>
          <w:rFonts w:eastAsiaTheme="minorEastAsia"/>
          <w:sz w:val="24"/>
          <w:szCs w:val="24"/>
        </w:rPr>
        <w:t xml:space="preserve"> </w:t>
      </w:r>
      <w:r w:rsidRPr="00920779">
        <w:rPr>
          <w:rFonts w:eastAsiaTheme="minorEastAsia"/>
          <w:sz w:val="24"/>
          <w:szCs w:val="24"/>
        </w:rPr>
        <w:t>au point le système</w:t>
      </w:r>
      <w:r w:rsidRPr="00920779">
        <w:rPr>
          <w:rFonts w:eastAsiaTheme="minorEastAsia"/>
          <w:sz w:val="24"/>
          <w:szCs w:val="24"/>
        </w:rPr>
        <w:t xml:space="preserve"> </w:t>
      </w:r>
      <w:proofErr w:type="spellStart"/>
      <w:r w:rsidRPr="00920779">
        <w:rPr>
          <w:rFonts w:eastAsiaTheme="minorEastAsia"/>
          <w:sz w:val="24"/>
          <w:szCs w:val="24"/>
        </w:rPr>
        <w:t>Kers</w:t>
      </w:r>
      <w:proofErr w:type="spellEnd"/>
      <w:r w:rsidRPr="00920779">
        <w:rPr>
          <w:rFonts w:eastAsiaTheme="minorEastAsia"/>
          <w:sz w:val="24"/>
          <w:szCs w:val="24"/>
        </w:rPr>
        <w:t xml:space="preserve"> qui permet de récupérer de l’énergie</w:t>
      </w:r>
      <w:r w:rsidRPr="00920779">
        <w:rPr>
          <w:rFonts w:eastAsiaTheme="minorEastAsia"/>
          <w:sz w:val="24"/>
          <w:szCs w:val="24"/>
        </w:rPr>
        <w:t xml:space="preserve"> </w:t>
      </w:r>
      <w:r w:rsidRPr="00920779">
        <w:rPr>
          <w:rFonts w:eastAsiaTheme="minorEastAsia"/>
          <w:sz w:val="24"/>
          <w:szCs w:val="24"/>
        </w:rPr>
        <w:t>avec une inertie pendant les phases de freinage.</w:t>
      </w:r>
      <w:r w:rsidRPr="00920779">
        <w:rPr>
          <w:rFonts w:eastAsiaTheme="minorEastAsia"/>
          <w:sz w:val="24"/>
          <w:szCs w:val="24"/>
        </w:rPr>
        <w:t xml:space="preserve"> </w:t>
      </w:r>
      <w:r w:rsidRPr="00920779">
        <w:rPr>
          <w:rFonts w:eastAsiaTheme="minorEastAsia"/>
          <w:sz w:val="24"/>
          <w:szCs w:val="24"/>
        </w:rPr>
        <w:t>Une voiture de F1 pèse environ 630 kg avec son pilote et comporte</w:t>
      </w:r>
      <w:r w:rsidRPr="00920779">
        <w:rPr>
          <w:rFonts w:eastAsiaTheme="minorEastAsia"/>
          <w:sz w:val="24"/>
          <w:szCs w:val="24"/>
        </w:rPr>
        <w:t xml:space="preserve"> </w:t>
      </w:r>
      <w:r w:rsidRPr="00920779">
        <w:rPr>
          <w:rFonts w:eastAsiaTheme="minorEastAsia"/>
          <w:sz w:val="24"/>
          <w:szCs w:val="24"/>
        </w:rPr>
        <w:t>un système à volant d’inertie J = 0,03 kg.m2 avec une vitesse</w:t>
      </w:r>
      <w:r w:rsidRPr="00920779">
        <w:rPr>
          <w:rFonts w:eastAsiaTheme="minorEastAsia"/>
          <w:sz w:val="24"/>
          <w:szCs w:val="24"/>
        </w:rPr>
        <w:t xml:space="preserve"> </w:t>
      </w:r>
      <w:r w:rsidRPr="00920779">
        <w:rPr>
          <w:rFonts w:eastAsiaTheme="minorEastAsia"/>
          <w:sz w:val="24"/>
          <w:szCs w:val="24"/>
        </w:rPr>
        <w:t>de rotation N maximale de 60 000 tr/mn.</w:t>
      </w:r>
      <w:r w:rsidRPr="00920779">
        <w:rPr>
          <w:rFonts w:eastAsiaTheme="minorEastAsia"/>
          <w:sz w:val="24"/>
          <w:szCs w:val="24"/>
        </w:rPr>
        <w:t xml:space="preserve"> </w:t>
      </w:r>
      <w:r w:rsidRPr="00920779">
        <w:rPr>
          <w:rFonts w:eastAsiaTheme="minorEastAsia"/>
          <w:sz w:val="24"/>
          <w:szCs w:val="24"/>
        </w:rPr>
        <w:t>Lors du grand prix de Chine à Shanghai, les voitures arrivent à</w:t>
      </w:r>
      <w:r w:rsidRPr="00920779">
        <w:rPr>
          <w:rFonts w:eastAsiaTheme="minorEastAsia"/>
          <w:sz w:val="24"/>
          <w:szCs w:val="24"/>
        </w:rPr>
        <w:t xml:space="preserve"> </w:t>
      </w:r>
      <w:r w:rsidRPr="00920779">
        <w:rPr>
          <w:rFonts w:eastAsiaTheme="minorEastAsia"/>
          <w:sz w:val="24"/>
          <w:szCs w:val="24"/>
        </w:rPr>
        <w:t>310 km/h à la fin de la ligne droite et repartent en fin de virage</w:t>
      </w:r>
      <w:r>
        <w:rPr>
          <w:rFonts w:eastAsiaTheme="minorEastAsia"/>
          <w:sz w:val="24"/>
          <w:szCs w:val="24"/>
        </w:rPr>
        <w:t xml:space="preserve"> </w:t>
      </w:r>
      <w:r w:rsidRPr="00920779">
        <w:rPr>
          <w:rFonts w:eastAsiaTheme="minorEastAsia"/>
          <w:sz w:val="24"/>
          <w:szCs w:val="24"/>
        </w:rPr>
        <w:t>à 73 km/h.</w:t>
      </w:r>
    </w:p>
    <w:p w14:paraId="5CC1C76E" w14:textId="60DCE5A0" w:rsidR="00920779" w:rsidRPr="00920779" w:rsidRDefault="00920779" w:rsidP="00920779">
      <w:pPr>
        <w:pStyle w:val="Paragraphedeliste"/>
        <w:rPr>
          <w:rFonts w:eastAsiaTheme="minorEastAsia"/>
          <w:sz w:val="24"/>
          <w:szCs w:val="24"/>
        </w:rPr>
      </w:pPr>
      <w:r w:rsidRPr="00920779">
        <w:rPr>
          <w:rFonts w:eastAsiaTheme="minorEastAsia"/>
          <w:sz w:val="24"/>
          <w:szCs w:val="24"/>
        </w:rPr>
        <w:t>Calculer l’énergie emmagasinée par l’inertie à l’entrée du virage (l’inertie tourne alors à sa vitesse maximale).</w:t>
      </w:r>
    </w:p>
    <w:p w14:paraId="110CA3BA" w14:textId="1F7D63D0" w:rsidR="00920779" w:rsidRPr="00920779" w:rsidRDefault="00920779" w:rsidP="00920779">
      <w:pPr>
        <w:pStyle w:val="Paragraphedeliste"/>
        <w:rPr>
          <w:rFonts w:eastAsiaTheme="minorEastAsia"/>
          <w:sz w:val="24"/>
          <w:szCs w:val="24"/>
        </w:rPr>
      </w:pPr>
      <w:r w:rsidRPr="00920779">
        <w:rPr>
          <w:rFonts w:eastAsiaTheme="minorEastAsia"/>
          <w:sz w:val="24"/>
          <w:szCs w:val="24"/>
        </w:rPr>
        <w:t xml:space="preserve">Quel est l’intérêt du système </w:t>
      </w:r>
      <w:proofErr w:type="spellStart"/>
      <w:r w:rsidRPr="00920779">
        <w:rPr>
          <w:rFonts w:eastAsiaTheme="minorEastAsia"/>
          <w:sz w:val="24"/>
          <w:szCs w:val="24"/>
        </w:rPr>
        <w:t>Kers</w:t>
      </w:r>
      <w:proofErr w:type="spellEnd"/>
      <w:r w:rsidRPr="00920779">
        <w:rPr>
          <w:rFonts w:eastAsiaTheme="minorEastAsia"/>
          <w:sz w:val="24"/>
          <w:szCs w:val="24"/>
        </w:rPr>
        <w:t xml:space="preserve"> ?</w:t>
      </w:r>
    </w:p>
    <w:p w14:paraId="035F1FFA" w14:textId="77777777" w:rsidR="00920779" w:rsidRPr="00920779" w:rsidRDefault="00920779" w:rsidP="00920779">
      <w:pPr>
        <w:pStyle w:val="Paragraphedeliste"/>
        <w:numPr>
          <w:ilvl w:val="0"/>
          <w:numId w:val="1"/>
        </w:numPr>
        <w:rPr>
          <w:rFonts w:eastAsiaTheme="minorEastAsia"/>
        </w:rPr>
      </w:pPr>
      <w:r>
        <w:rPr>
          <w:rFonts w:eastAsiaTheme="minorEastAsia"/>
          <w:sz w:val="24"/>
          <w:szCs w:val="24"/>
        </w:rPr>
        <w:t xml:space="preserve">Porsche : </w:t>
      </w:r>
      <w:r w:rsidRPr="00920779">
        <w:t>Lors d’un essai en cycle urbain, chauffage allumé, l’afficheur de la voiture fournit les informations suivantes :</w:t>
      </w:r>
    </w:p>
    <w:p w14:paraId="735A71F0" w14:textId="77777777" w:rsidR="00920779" w:rsidRPr="00920779" w:rsidRDefault="00920779" w:rsidP="00920779">
      <w:pPr>
        <w:pStyle w:val="Paragraphedeliste"/>
        <w:numPr>
          <w:ilvl w:val="1"/>
          <w:numId w:val="1"/>
        </w:numPr>
        <w:rPr>
          <w:rFonts w:eastAsiaTheme="minorEastAsia"/>
          <w:sz w:val="24"/>
          <w:szCs w:val="24"/>
        </w:rPr>
      </w:pPr>
      <w:r w:rsidRPr="00920779">
        <w:rPr>
          <w:rFonts w:eastAsiaTheme="minorEastAsia"/>
          <w:sz w:val="24"/>
          <w:szCs w:val="24"/>
        </w:rPr>
        <w:t>– distance parcourue</w:t>
      </w:r>
      <w:r w:rsidRPr="00920779">
        <w:rPr>
          <w:rFonts w:eastAsiaTheme="minorEastAsia"/>
          <w:b/>
          <w:bCs/>
          <w:sz w:val="24"/>
          <w:szCs w:val="24"/>
        </w:rPr>
        <w:t xml:space="preserve">* </w:t>
      </w:r>
      <w:r w:rsidRPr="00920779">
        <w:rPr>
          <w:rFonts w:eastAsiaTheme="minorEastAsia"/>
          <w:sz w:val="24"/>
          <w:szCs w:val="24"/>
        </w:rPr>
        <w:t>: 17 km</w:t>
      </w:r>
    </w:p>
    <w:p w14:paraId="6FD20643" w14:textId="77777777" w:rsidR="00920779" w:rsidRPr="00920779" w:rsidRDefault="00920779" w:rsidP="00920779">
      <w:pPr>
        <w:pStyle w:val="Paragraphedeliste"/>
        <w:numPr>
          <w:ilvl w:val="1"/>
          <w:numId w:val="1"/>
        </w:numPr>
        <w:rPr>
          <w:rFonts w:eastAsiaTheme="minorEastAsia"/>
          <w:sz w:val="24"/>
          <w:szCs w:val="24"/>
        </w:rPr>
      </w:pPr>
      <w:r w:rsidRPr="00920779">
        <w:rPr>
          <w:rFonts w:eastAsiaTheme="minorEastAsia"/>
          <w:sz w:val="24"/>
          <w:szCs w:val="24"/>
        </w:rPr>
        <w:t>– consommation en continu : 25 kWh/100 km</w:t>
      </w:r>
    </w:p>
    <w:p w14:paraId="67471EC4" w14:textId="2A0176FB" w:rsidR="00920779" w:rsidRPr="00920779" w:rsidRDefault="00920779" w:rsidP="00920779">
      <w:pPr>
        <w:pStyle w:val="Paragraphedeliste"/>
        <w:rPr>
          <w:rFonts w:eastAsiaTheme="minorEastAsia"/>
          <w:sz w:val="24"/>
          <w:szCs w:val="24"/>
        </w:rPr>
      </w:pPr>
      <w:r w:rsidRPr="00920779">
        <w:rPr>
          <w:rFonts w:eastAsiaTheme="minorEastAsia"/>
          <w:sz w:val="24"/>
          <w:szCs w:val="24"/>
        </w:rPr>
        <w:t xml:space="preserve">Calculer </w:t>
      </w:r>
      <w:r w:rsidRPr="00920779">
        <w:rPr>
          <w:rFonts w:eastAsiaTheme="minorEastAsia"/>
          <w:sz w:val="24"/>
          <w:szCs w:val="24"/>
        </w:rPr>
        <w:t>l’énergie moyenne consommée durant ce cycle ?</w:t>
      </w:r>
    </w:p>
    <w:p w14:paraId="2120697D" w14:textId="7B83A9CC" w:rsidR="00920779" w:rsidRDefault="00920779" w:rsidP="00920779">
      <w:pPr>
        <w:pStyle w:val="Paragraphedeliste"/>
        <w:rPr>
          <w:rFonts w:eastAsiaTheme="minorEastAsia"/>
          <w:sz w:val="24"/>
          <w:szCs w:val="24"/>
        </w:rPr>
      </w:pPr>
      <w:r w:rsidRPr="00920779">
        <w:rPr>
          <w:rFonts w:eastAsiaTheme="minorEastAsia"/>
          <w:sz w:val="24"/>
          <w:szCs w:val="24"/>
        </w:rPr>
        <w:t>Calculer l’énergie minimum nécessaire en kWh pour la batterie de cette voiture si on souhaite une autonomie</w:t>
      </w:r>
      <w:r>
        <w:rPr>
          <w:rFonts w:eastAsiaTheme="minorEastAsia"/>
          <w:sz w:val="24"/>
          <w:szCs w:val="24"/>
        </w:rPr>
        <w:t xml:space="preserve"> </w:t>
      </w:r>
      <w:r w:rsidRPr="00920779">
        <w:rPr>
          <w:rFonts w:eastAsiaTheme="minorEastAsia"/>
          <w:sz w:val="24"/>
          <w:szCs w:val="24"/>
        </w:rPr>
        <w:t>de 56 km comme l’indique le constructeur.</w:t>
      </w:r>
    </w:p>
    <w:p w14:paraId="0515EDE0" w14:textId="4C7B79E0" w:rsidR="00920779" w:rsidRDefault="00920779" w:rsidP="00920779">
      <w:pPr>
        <w:pStyle w:val="Paragraphedeliste"/>
        <w:rPr>
          <w:rFonts w:eastAsiaTheme="minorEastAsia"/>
          <w:sz w:val="24"/>
          <w:szCs w:val="24"/>
        </w:rPr>
      </w:pPr>
    </w:p>
    <w:p w14:paraId="37FF5281" w14:textId="590CE751" w:rsidR="00920779" w:rsidRDefault="00920779" w:rsidP="00920779">
      <w:pPr>
        <w:pStyle w:val="Paragraphedeliste"/>
        <w:rPr>
          <w:rFonts w:eastAsiaTheme="minorEastAsia"/>
          <w:sz w:val="24"/>
          <w:szCs w:val="24"/>
        </w:rPr>
      </w:pPr>
    </w:p>
    <w:p w14:paraId="5F130111" w14:textId="771CBF91" w:rsidR="00920779" w:rsidRDefault="00920779" w:rsidP="00920779">
      <w:pPr>
        <w:pStyle w:val="Paragraphedeliste"/>
        <w:rPr>
          <w:rFonts w:eastAsiaTheme="minorEastAsia"/>
          <w:sz w:val="24"/>
          <w:szCs w:val="24"/>
        </w:rPr>
      </w:pPr>
    </w:p>
    <w:p w14:paraId="24EE0813" w14:textId="5AB8980B" w:rsidR="00920779" w:rsidRDefault="00920779" w:rsidP="00920779">
      <w:pPr>
        <w:pStyle w:val="Paragraphedeliste"/>
        <w:rPr>
          <w:rFonts w:eastAsiaTheme="minorEastAsia"/>
          <w:sz w:val="24"/>
          <w:szCs w:val="24"/>
        </w:rPr>
      </w:pPr>
    </w:p>
    <w:p w14:paraId="76ADC159" w14:textId="02DF6DFE" w:rsidR="00920779" w:rsidRDefault="00920779" w:rsidP="00920779">
      <w:pPr>
        <w:pStyle w:val="Paragraphedeliste"/>
        <w:rPr>
          <w:rFonts w:eastAsiaTheme="minorEastAsia"/>
          <w:sz w:val="24"/>
          <w:szCs w:val="24"/>
        </w:rPr>
      </w:pPr>
    </w:p>
    <w:p w14:paraId="508B6A16" w14:textId="0F71AC68" w:rsidR="00920779" w:rsidRDefault="00920779" w:rsidP="00920779">
      <w:pPr>
        <w:pStyle w:val="Paragraphedeliste"/>
        <w:rPr>
          <w:rFonts w:eastAsiaTheme="minorEastAsia"/>
          <w:sz w:val="24"/>
          <w:szCs w:val="24"/>
        </w:rPr>
      </w:pPr>
    </w:p>
    <w:p w14:paraId="16EFD72B" w14:textId="0A1E47BE" w:rsidR="00920779" w:rsidRDefault="00920779" w:rsidP="00920779">
      <w:pPr>
        <w:pStyle w:val="Paragraphedeliste"/>
        <w:rPr>
          <w:rFonts w:eastAsiaTheme="minorEastAsia"/>
          <w:sz w:val="24"/>
          <w:szCs w:val="24"/>
        </w:rPr>
      </w:pPr>
    </w:p>
    <w:p w14:paraId="46B30390" w14:textId="77777777" w:rsidR="00920779" w:rsidRDefault="00920779" w:rsidP="00920779">
      <w:pPr>
        <w:pStyle w:val="Paragraphedeliste"/>
        <w:rPr>
          <w:rFonts w:eastAsiaTheme="minorEastAsia"/>
          <w:sz w:val="24"/>
          <w:szCs w:val="24"/>
        </w:rPr>
      </w:pPr>
    </w:p>
    <w:p w14:paraId="36E438D2" w14:textId="352C50AF" w:rsidR="00920779" w:rsidRDefault="00920779" w:rsidP="00920779">
      <w:pPr>
        <w:autoSpaceDE w:val="0"/>
        <w:autoSpaceDN w:val="0"/>
        <w:adjustRightInd w:val="0"/>
        <w:spacing w:after="0" w:line="240" w:lineRule="auto"/>
        <w:rPr>
          <w:rFonts w:ascii="MyriadPro-Regular" w:hAnsi="MyriadPro-Regular" w:cs="MyriadPro-Regular"/>
          <w:sz w:val="21"/>
          <w:szCs w:val="21"/>
        </w:rPr>
      </w:pPr>
      <w:r>
        <w:rPr>
          <w:rFonts w:ascii="MyriadPro-Regular" w:hAnsi="MyriadPro-Regular" w:cs="MyriadPro-Regular"/>
          <w:sz w:val="21"/>
          <w:szCs w:val="21"/>
        </w:rPr>
        <w:lastRenderedPageBreak/>
        <w:t>Chaque cellule a les caractéristiques suivantes : 48 V, 1,1 kWh, Technologie</w:t>
      </w:r>
      <w:r>
        <w:rPr>
          <w:rFonts w:ascii="MyriadPro-Regular" w:hAnsi="MyriadPro-Regular" w:cs="MyriadPro-Regular"/>
          <w:sz w:val="21"/>
          <w:szCs w:val="21"/>
        </w:rPr>
        <w:t xml:space="preserve"> </w:t>
      </w:r>
      <w:r>
        <w:rPr>
          <w:rFonts w:ascii="MyriadPro-Regular" w:hAnsi="MyriadPro-Regular" w:cs="MyriadPro-Regular"/>
          <w:sz w:val="21"/>
          <w:szCs w:val="21"/>
        </w:rPr>
        <w:t>lithium-ion, 1,35 kg. Cette batterie est constituée d’un rack contenant</w:t>
      </w:r>
      <w:r>
        <w:rPr>
          <w:rFonts w:ascii="MyriadPro-Regular" w:hAnsi="MyriadPro-Regular" w:cs="MyriadPro-Regular"/>
          <w:sz w:val="21"/>
          <w:szCs w:val="21"/>
        </w:rPr>
        <w:t xml:space="preserve"> </w:t>
      </w:r>
      <w:r>
        <w:rPr>
          <w:rFonts w:ascii="MyriadPro-Regular" w:hAnsi="MyriadPro-Regular" w:cs="MyriadPro-Regular"/>
          <w:sz w:val="21"/>
          <w:szCs w:val="21"/>
        </w:rPr>
        <w:t>8 modules de 13 cellules.</w:t>
      </w:r>
    </w:p>
    <w:p w14:paraId="59B48C55" w14:textId="68387680" w:rsidR="00920779" w:rsidRPr="00920779" w:rsidRDefault="00920779" w:rsidP="00920779">
      <w:pPr>
        <w:autoSpaceDE w:val="0"/>
        <w:autoSpaceDN w:val="0"/>
        <w:adjustRightInd w:val="0"/>
        <w:spacing w:after="0" w:line="240" w:lineRule="auto"/>
        <w:rPr>
          <w:rFonts w:eastAsiaTheme="minorEastAsia"/>
          <w:sz w:val="24"/>
          <w:szCs w:val="24"/>
        </w:rPr>
      </w:pPr>
      <w:r>
        <w:rPr>
          <w:rFonts w:ascii="MyriadPro-Regular" w:hAnsi="MyriadPro-Regular" w:cs="MyriadPro-Regular"/>
          <w:sz w:val="21"/>
          <w:szCs w:val="21"/>
        </w:rPr>
        <w:t>Rappel : Indiquer sur les graphiques les formules théoriques permettant de calculer les grandeurs des associations</w:t>
      </w:r>
      <w:r>
        <w:rPr>
          <w:rFonts w:ascii="MyriadPro-Regular" w:hAnsi="MyriadPro-Regular" w:cs="MyriadPro-Regular"/>
          <w:sz w:val="21"/>
          <w:szCs w:val="21"/>
        </w:rPr>
        <w:t xml:space="preserve"> </w:t>
      </w:r>
      <w:r>
        <w:rPr>
          <w:rFonts w:ascii="MyriadPro-Regular" w:hAnsi="MyriadPro-Regular" w:cs="MyriadPro-Regular"/>
          <w:sz w:val="21"/>
          <w:szCs w:val="21"/>
        </w:rPr>
        <w:t>de générateurs suivantes.</w:t>
      </w:r>
    </w:p>
    <w:p w14:paraId="7F1AB1F1" w14:textId="34E24E62" w:rsidR="00ED3D54" w:rsidRDefault="00920779" w:rsidP="00B039CB">
      <w:pPr>
        <w:pStyle w:val="Sansinterligne"/>
        <w:jc w:val="center"/>
      </w:pPr>
      <w:r w:rsidRPr="00920779">
        <w:drawing>
          <wp:inline distT="0" distB="0" distL="0" distR="0" wp14:anchorId="1555438F" wp14:editId="22D86971">
            <wp:extent cx="2667000" cy="1420986"/>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5488" cy="1430836"/>
                    </a:xfrm>
                    <a:prstGeom prst="rect">
                      <a:avLst/>
                    </a:prstGeom>
                  </pic:spPr>
                </pic:pic>
              </a:graphicData>
            </a:graphic>
          </wp:inline>
        </w:drawing>
      </w:r>
      <w:r w:rsidRPr="00920779">
        <w:drawing>
          <wp:inline distT="0" distB="0" distL="0" distR="0" wp14:anchorId="6D70F342" wp14:editId="177ED06C">
            <wp:extent cx="2628900" cy="1401727"/>
            <wp:effectExtent l="0" t="0" r="0" b="8255"/>
            <wp:docPr id="5" name="Image 5"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horloge&#10;&#10;Description générée automatiquement"/>
                    <pic:cNvPicPr/>
                  </pic:nvPicPr>
                  <pic:blipFill>
                    <a:blip r:embed="rId10"/>
                    <a:stretch>
                      <a:fillRect/>
                    </a:stretch>
                  </pic:blipFill>
                  <pic:spPr>
                    <a:xfrm>
                      <a:off x="0" y="0"/>
                      <a:ext cx="2650521" cy="1413255"/>
                    </a:xfrm>
                    <a:prstGeom prst="rect">
                      <a:avLst/>
                    </a:prstGeom>
                  </pic:spPr>
                </pic:pic>
              </a:graphicData>
            </a:graphic>
          </wp:inline>
        </w:drawing>
      </w:r>
    </w:p>
    <w:p w14:paraId="1D31E52C" w14:textId="19B0F406" w:rsidR="00920779" w:rsidRDefault="00920779" w:rsidP="00920779">
      <w:pPr>
        <w:autoSpaceDE w:val="0"/>
        <w:autoSpaceDN w:val="0"/>
        <w:adjustRightInd w:val="0"/>
        <w:spacing w:after="0" w:line="240" w:lineRule="auto"/>
        <w:rPr>
          <w:rFonts w:eastAsiaTheme="minorEastAsia"/>
          <w:sz w:val="24"/>
          <w:szCs w:val="24"/>
        </w:rPr>
      </w:pPr>
      <w:r>
        <w:rPr>
          <w:rFonts w:ascii="LinotypeGothicCom-Regular" w:hAnsi="LinotypeGothicCom-Regular" w:cs="LinotypeGothicCom-Regular"/>
        </w:rPr>
        <w:t>Les cellules sont montées en parallèle pour former un module. Les modules sont ensuite associés en série entre</w:t>
      </w:r>
      <w:r>
        <w:rPr>
          <w:rFonts w:ascii="LinotypeGothicCom-Regular" w:hAnsi="LinotypeGothicCom-Regular" w:cs="LinotypeGothicCom-Regular"/>
        </w:rPr>
        <w:t xml:space="preserve"> </w:t>
      </w:r>
      <w:r>
        <w:rPr>
          <w:rFonts w:ascii="LinotypeGothicCom-Regular" w:hAnsi="LinotypeGothicCom-Regular" w:cs="LinotypeGothicCom-Regular"/>
        </w:rPr>
        <w:t>eux. Tracer l’association des cellules ci-dessous.</w:t>
      </w:r>
    </w:p>
    <w:p w14:paraId="6EF304D5" w14:textId="25F1C3A4" w:rsidR="00920779" w:rsidRPr="00ED3D54" w:rsidRDefault="00B039CB" w:rsidP="00ED3D54">
      <w:pPr>
        <w:rPr>
          <w:rFonts w:eastAsiaTheme="minorEastAsia"/>
          <w:sz w:val="24"/>
          <w:szCs w:val="24"/>
        </w:rPr>
      </w:pPr>
      <w:r>
        <w:rPr>
          <w:rFonts w:ascii="LinotypeGothicCom-Regular" w:hAnsi="LinotypeGothicCom-Regular" w:cs="LinotypeGothicCom-Regular"/>
          <w:noProof/>
          <w:color w:val="000000"/>
        </w:rPr>
        <w:drawing>
          <wp:anchor distT="0" distB="0" distL="114300" distR="114300" simplePos="0" relativeHeight="251658240" behindDoc="0" locked="0" layoutInCell="1" allowOverlap="1" wp14:anchorId="58E9217B" wp14:editId="37878946">
            <wp:simplePos x="0" y="0"/>
            <wp:positionH relativeFrom="column">
              <wp:posOffset>968375</wp:posOffset>
            </wp:positionH>
            <wp:positionV relativeFrom="paragraph">
              <wp:posOffset>2487295</wp:posOffset>
            </wp:positionV>
            <wp:extent cx="2311400" cy="4177030"/>
            <wp:effectExtent l="635"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4439" t="6530" r="3037" b="16917"/>
                    <a:stretch/>
                  </pic:blipFill>
                  <pic:spPr bwMode="auto">
                    <a:xfrm rot="16200000">
                      <a:off x="0" y="0"/>
                      <a:ext cx="2311400" cy="417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779" w:rsidRPr="00920779">
        <w:rPr>
          <w:rFonts w:eastAsiaTheme="minorEastAsia"/>
          <w:sz w:val="24"/>
          <w:szCs w:val="24"/>
        </w:rPr>
        <w:drawing>
          <wp:inline distT="0" distB="0" distL="0" distR="0" wp14:anchorId="7FF95F91" wp14:editId="548EE848">
            <wp:extent cx="5760720" cy="3349625"/>
            <wp:effectExtent l="0" t="0" r="0" b="3175"/>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13"/>
                    <a:stretch>
                      <a:fillRect/>
                    </a:stretch>
                  </pic:blipFill>
                  <pic:spPr>
                    <a:xfrm>
                      <a:off x="0" y="0"/>
                      <a:ext cx="5760720" cy="3349625"/>
                    </a:xfrm>
                    <a:prstGeom prst="rect">
                      <a:avLst/>
                    </a:prstGeom>
                  </pic:spPr>
                </pic:pic>
              </a:graphicData>
            </a:graphic>
          </wp:inline>
        </w:drawing>
      </w:r>
    </w:p>
    <w:p w14:paraId="313AFDA1" w14:textId="6D02F805" w:rsidR="00B039CB" w:rsidRPr="00B039CB" w:rsidRDefault="00B039CB" w:rsidP="00B039CB">
      <w:pPr>
        <w:autoSpaceDE w:val="0"/>
        <w:autoSpaceDN w:val="0"/>
        <w:adjustRightInd w:val="0"/>
        <w:spacing w:after="0" w:line="240" w:lineRule="auto"/>
        <w:rPr>
          <w:rFonts w:ascii="LinotypeGothicCom-Regular" w:hAnsi="LinotypeGothicCom-Regular" w:cs="LinotypeGothicCom-Regular"/>
          <w:color w:val="000000"/>
        </w:rPr>
      </w:pPr>
      <w:r>
        <w:rPr>
          <w:rFonts w:ascii="LinotypeGothicCom-Regular" w:hAnsi="LinotypeGothicCom-Regular" w:cs="LinotypeGothicCom-Regular"/>
          <w:color w:val="000000"/>
        </w:rPr>
        <w:t>Calculer la tension aux bornes de chaque module. En déduire la tension aux bornes de la batterie.</w:t>
      </w:r>
      <w:r>
        <w:rPr>
          <w:rFonts w:ascii="LinotypeGothicCom-Regular" w:hAnsi="LinotypeGothicCom-Regular" w:cs="LinotypeGothicCom-Regular"/>
          <w:color w:val="000000"/>
        </w:rPr>
        <w:t xml:space="preserve"> </w:t>
      </w:r>
    </w:p>
    <w:p w14:paraId="6BB53F93" w14:textId="5FC62582" w:rsidR="00B039CB" w:rsidRDefault="00B039CB" w:rsidP="00B039CB">
      <w:pPr>
        <w:autoSpaceDE w:val="0"/>
        <w:autoSpaceDN w:val="0"/>
        <w:adjustRightInd w:val="0"/>
        <w:spacing w:after="0" w:line="240" w:lineRule="auto"/>
        <w:rPr>
          <w:rFonts w:ascii="LinotypeGothicCom-Regular" w:hAnsi="LinotypeGothicCom-Regular" w:cs="LinotypeGothicCom-Regular"/>
          <w:color w:val="000000"/>
        </w:rPr>
      </w:pPr>
      <w:r>
        <w:rPr>
          <w:rFonts w:ascii="LinotypeGothicCom-Regular" w:hAnsi="LinotypeGothicCom-Regular" w:cs="LinotypeGothicCom-Regular"/>
          <w:color w:val="000000"/>
        </w:rPr>
        <w:t>Calculer l’énergie emmagasinée par chaque module puis en déduire l’énergie emmagasinée par la batterie</w:t>
      </w:r>
      <w:r>
        <w:rPr>
          <w:rFonts w:ascii="LinotypeGothicCom-Regular" w:hAnsi="LinotypeGothicCom-Regular" w:cs="LinotypeGothicCom-Regular"/>
          <w:color w:val="000000"/>
        </w:rPr>
        <w:t xml:space="preserve"> et c</w:t>
      </w:r>
      <w:r>
        <w:rPr>
          <w:rFonts w:ascii="LinotypeGothicCom-Regular" w:hAnsi="LinotypeGothicCom-Regular" w:cs="LinotypeGothicCom-Regular"/>
          <w:color w:val="000000"/>
        </w:rPr>
        <w:t>alculer la capacité en Ah de la batterie.</w:t>
      </w:r>
    </w:p>
    <w:p w14:paraId="4B13C8D7" w14:textId="77777777" w:rsidR="00D26880" w:rsidRDefault="00D26880" w:rsidP="00B039CB">
      <w:pPr>
        <w:autoSpaceDE w:val="0"/>
        <w:autoSpaceDN w:val="0"/>
        <w:adjustRightInd w:val="0"/>
        <w:spacing w:after="0" w:line="240" w:lineRule="auto"/>
        <w:rPr>
          <w:rFonts w:ascii="LinotypeGothicCom-Regular" w:hAnsi="LinotypeGothicCom-Regular" w:cs="LinotypeGothicCom-Regular"/>
          <w:color w:val="000000"/>
        </w:rPr>
      </w:pPr>
    </w:p>
    <w:p w14:paraId="4647EBE9" w14:textId="65AA2329" w:rsidR="00B039CB" w:rsidRDefault="00B039CB" w:rsidP="00B039CB">
      <w:pPr>
        <w:autoSpaceDE w:val="0"/>
        <w:autoSpaceDN w:val="0"/>
        <w:adjustRightInd w:val="0"/>
        <w:spacing w:after="0" w:line="240" w:lineRule="auto"/>
        <w:rPr>
          <w:rFonts w:ascii="LinotypeGothicCom-Regular" w:hAnsi="LinotypeGothicCom-Regular" w:cs="LinotypeGothicCom-Regular"/>
          <w:color w:val="000000"/>
        </w:rPr>
      </w:pPr>
      <w:r>
        <w:rPr>
          <w:rFonts w:ascii="LinotypeGothicCom-Regular" w:hAnsi="LinotypeGothicCom-Regular" w:cs="LinotypeGothicCom-Regular"/>
          <w:color w:val="000000"/>
        </w:rPr>
        <w:t>Calculer l’énergie massique (J/kg) de cette batterie.</w:t>
      </w:r>
    </w:p>
    <w:p w14:paraId="725D7A79" w14:textId="57173B0A" w:rsidR="00ED3D54" w:rsidRPr="00ED3D54" w:rsidRDefault="00B039CB" w:rsidP="00B039CB">
      <w:pPr>
        <w:autoSpaceDE w:val="0"/>
        <w:autoSpaceDN w:val="0"/>
        <w:adjustRightInd w:val="0"/>
        <w:spacing w:after="0" w:line="240" w:lineRule="auto"/>
        <w:rPr>
          <w:rFonts w:eastAsiaTheme="minorEastAsia"/>
          <w:sz w:val="24"/>
          <w:szCs w:val="24"/>
        </w:rPr>
      </w:pPr>
      <w:r w:rsidRPr="00B039CB">
        <w:rPr>
          <w:rFonts w:ascii="LinotypeGothicCom-Regular" w:hAnsi="LinotypeGothicCom-Regular" w:cs="LinotypeGothicCom-Regular"/>
          <w:color w:val="000000"/>
        </w:rPr>
        <w:t>D’après le graphique ci-contre, justifier</w:t>
      </w:r>
      <w:r>
        <w:rPr>
          <w:rFonts w:ascii="LinotypeGothicCom-Regular" w:hAnsi="LinotypeGothicCom-Regular" w:cs="LinotypeGothicCom-Regular"/>
          <w:color w:val="000000"/>
        </w:rPr>
        <w:t xml:space="preserve"> </w:t>
      </w:r>
      <w:r w:rsidRPr="00B039CB">
        <w:rPr>
          <w:rFonts w:ascii="LinotypeGothicCom-Regular" w:hAnsi="LinotypeGothicCom-Regular" w:cs="LinotypeGothicCom-Regular"/>
          <w:color w:val="000000"/>
        </w:rPr>
        <w:t>le choix de la technologie lithium</w:t>
      </w:r>
      <w:r>
        <w:rPr>
          <w:rFonts w:ascii="LinotypeGothicCom-Regular" w:hAnsi="LinotypeGothicCom-Regular" w:cs="LinotypeGothicCom-Regular"/>
          <w:color w:val="000000"/>
        </w:rPr>
        <w:t>-</w:t>
      </w:r>
      <w:r w:rsidRPr="00B039CB">
        <w:rPr>
          <w:rFonts w:ascii="LinotypeGothicCom-Regular" w:hAnsi="LinotypeGothicCom-Regular" w:cs="LinotypeGothicCom-Regular"/>
          <w:color w:val="000000"/>
        </w:rPr>
        <w:t>ion</w:t>
      </w:r>
      <w:r>
        <w:rPr>
          <w:rFonts w:ascii="LinotypeGothicCom-Regular" w:hAnsi="LinotypeGothicCom-Regular" w:cs="LinotypeGothicCom-Regular"/>
          <w:color w:val="000000"/>
        </w:rPr>
        <w:t xml:space="preserve"> </w:t>
      </w:r>
      <w:r w:rsidRPr="00B039CB">
        <w:rPr>
          <w:rFonts w:ascii="LinotypeGothicCom-Regular" w:hAnsi="LinotypeGothicCom-Regular" w:cs="LinotypeGothicCom-Regular"/>
          <w:color w:val="000000"/>
        </w:rPr>
        <w:t>pour les véhicules</w:t>
      </w:r>
      <w:r>
        <w:rPr>
          <w:rFonts w:ascii="LinotypeGothicCom-Regular" w:hAnsi="LinotypeGothicCom-Regular" w:cs="LinotypeGothicCom-Regular"/>
          <w:color w:val="000000"/>
        </w:rPr>
        <w:t xml:space="preserve"> él</w:t>
      </w:r>
      <w:r w:rsidRPr="00B039CB">
        <w:rPr>
          <w:rFonts w:ascii="LinotypeGothicCom-Regular" w:hAnsi="LinotypeGothicCom-Regular" w:cs="LinotypeGothicCom-Regular"/>
          <w:color w:val="000000"/>
        </w:rPr>
        <w:t>ectrifiés</w:t>
      </w:r>
      <w:r w:rsidRPr="00B039CB">
        <w:rPr>
          <w:rFonts w:ascii="LinotypeGothicCom-Regular" w:hAnsi="LinotypeGothicCom-Regular" w:cs="LinotypeGothicCom-Regular"/>
          <w:color w:val="000000"/>
        </w:rPr>
        <w:t>.</w:t>
      </w:r>
      <w:r>
        <w:rPr>
          <w:rFonts w:ascii="LinotypeGothicCom-Regular" w:hAnsi="LinotypeGothicCom-Regular" w:cs="LinotypeGothicCom-Regular"/>
          <w:color w:val="000000"/>
        </w:rPr>
        <w:t xml:space="preserve"> Expliquer p</w:t>
      </w:r>
      <w:r w:rsidRPr="00B039CB">
        <w:rPr>
          <w:rFonts w:ascii="LinotypeGothicCom-Regular" w:hAnsi="LinotypeGothicCom-Regular" w:cs="LinotypeGothicCom-Regular"/>
          <w:color w:val="000000"/>
        </w:rPr>
        <w:t>ourquoi les batteries au plomb ont</w:t>
      </w:r>
      <w:r>
        <w:rPr>
          <w:rFonts w:ascii="LinotypeGothicCom-Regular" w:hAnsi="LinotypeGothicCom-Regular" w:cs="LinotypeGothicCom-Regular"/>
          <w:color w:val="000000"/>
        </w:rPr>
        <w:t>-</w:t>
      </w:r>
      <w:r w:rsidRPr="00B039CB">
        <w:rPr>
          <w:rFonts w:ascii="LinotypeGothicCom-Regular" w:hAnsi="LinotypeGothicCom-Regular" w:cs="LinotypeGothicCom-Regular"/>
          <w:color w:val="000000"/>
        </w:rPr>
        <w:t>elles</w:t>
      </w:r>
      <w:r>
        <w:rPr>
          <w:rFonts w:ascii="LinotypeGothicCom-Regular" w:hAnsi="LinotypeGothicCom-Regular" w:cs="LinotypeGothicCom-Regular"/>
          <w:color w:val="000000"/>
        </w:rPr>
        <w:t xml:space="preserve"> </w:t>
      </w:r>
      <w:r w:rsidRPr="00B039CB">
        <w:rPr>
          <w:rFonts w:ascii="LinotypeGothicCom-Regular" w:hAnsi="LinotypeGothicCom-Regular" w:cs="LinotypeGothicCom-Regular"/>
          <w:color w:val="000000"/>
        </w:rPr>
        <w:t>été abandonnées</w:t>
      </w:r>
      <w:proofErr w:type="gramStart"/>
      <w:r w:rsidRPr="00B039CB">
        <w:rPr>
          <w:rFonts w:ascii="LinotypeGothicCom-Regular" w:hAnsi="LinotypeGothicCom-Regular" w:cs="LinotypeGothicCom-Regular"/>
          <w:color w:val="000000"/>
        </w:rPr>
        <w:t xml:space="preserve"> ?</w:t>
      </w:r>
      <w:proofErr w:type="spellStart"/>
      <w:r>
        <w:rPr>
          <w:rFonts w:ascii="LinotypeGothicCom-Regular" w:hAnsi="LinotypeGothicCom-Regular" w:cs="LinotypeGothicCom-Regular"/>
          <w:color w:val="000000"/>
        </w:rPr>
        <w:t>iter</w:t>
      </w:r>
      <w:proofErr w:type="spellEnd"/>
      <w:proofErr w:type="gramEnd"/>
      <w:r>
        <w:rPr>
          <w:rFonts w:ascii="LinotypeGothicCom-Regular" w:hAnsi="LinotypeGothicCom-Regular" w:cs="LinotypeGothicCom-Regular"/>
          <w:color w:val="000000"/>
        </w:rPr>
        <w:t xml:space="preserve"> la ou les </w:t>
      </w:r>
      <w:r w:rsidRPr="00B039CB">
        <w:rPr>
          <w:rFonts w:ascii="LinotypeGothicCom-Regular" w:hAnsi="LinotypeGothicCom-Regular" w:cs="LinotypeGothicCom-Regular"/>
          <w:color w:val="000000"/>
        </w:rPr>
        <w:t>autres technologies de batteries auraient pu être envisagées ?</w:t>
      </w:r>
    </w:p>
    <w:sectPr w:rsidR="00ED3D54" w:rsidRPr="00ED3D54">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31A3" w14:textId="77777777" w:rsidR="008B044C" w:rsidRDefault="008B044C" w:rsidP="00ED3D54">
      <w:pPr>
        <w:spacing w:after="0" w:line="240" w:lineRule="auto"/>
      </w:pPr>
      <w:r>
        <w:separator/>
      </w:r>
    </w:p>
  </w:endnote>
  <w:endnote w:type="continuationSeparator" w:id="0">
    <w:p w14:paraId="7AB3D8D3" w14:textId="77777777" w:rsidR="008B044C" w:rsidRDefault="008B044C" w:rsidP="00ED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Pro-Regular">
    <w:panose1 w:val="00000000000000000000"/>
    <w:charset w:val="00"/>
    <w:family w:val="roman"/>
    <w:notTrueType/>
    <w:pitch w:val="default"/>
    <w:sig w:usb0="00000003" w:usb1="00000000" w:usb2="00000000" w:usb3="00000000" w:csb0="00000001" w:csb1="00000000"/>
  </w:font>
  <w:font w:name="LinotypeGothicCom-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442D" w14:textId="2F3D03DF" w:rsidR="00ED3D54" w:rsidRDefault="00ED3D54">
    <w:pPr>
      <w:pStyle w:val="Pieddepage"/>
    </w:pPr>
    <w:r>
      <w:rPr>
        <w:noProof/>
      </w:rPr>
      <w:drawing>
        <wp:inline distT="0" distB="0" distL="0" distR="0" wp14:anchorId="7B906065" wp14:editId="6CCEEE36">
          <wp:extent cx="314325" cy="315072"/>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321429" cy="322193"/>
                  </a:xfrm>
                  <a:prstGeom prst="rect">
                    <a:avLst/>
                  </a:prstGeom>
                </pic:spPr>
              </pic:pic>
            </a:graphicData>
          </a:graphic>
        </wp:inline>
      </w:drawing>
    </w:r>
    <w:r>
      <w:tab/>
    </w:r>
    <w:r>
      <w:tab/>
      <w:t xml:space="preserve">Page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0A19D" w14:textId="77777777" w:rsidR="008B044C" w:rsidRDefault="008B044C" w:rsidP="00ED3D54">
      <w:pPr>
        <w:spacing w:after="0" w:line="240" w:lineRule="auto"/>
      </w:pPr>
      <w:r>
        <w:separator/>
      </w:r>
    </w:p>
  </w:footnote>
  <w:footnote w:type="continuationSeparator" w:id="0">
    <w:p w14:paraId="24F0B85A" w14:textId="77777777" w:rsidR="008B044C" w:rsidRDefault="008B044C" w:rsidP="00ED3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4D16" w14:textId="77777777" w:rsidR="00ED3D54" w:rsidRDefault="00ED3D54" w:rsidP="00ED3D54">
    <w:pPr>
      <w:pStyle w:val="Titre"/>
    </w:pPr>
    <w:r>
      <w:t>Le stockage d’énergie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139E2"/>
    <w:multiLevelType w:val="hybridMultilevel"/>
    <w:tmpl w:val="492442F8"/>
    <w:lvl w:ilvl="0" w:tplc="6ED2C93A">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10512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9D5"/>
    <w:rsid w:val="006D69D5"/>
    <w:rsid w:val="007317FF"/>
    <w:rsid w:val="008B044C"/>
    <w:rsid w:val="00907BA4"/>
    <w:rsid w:val="00920779"/>
    <w:rsid w:val="00B039CB"/>
    <w:rsid w:val="00B12211"/>
    <w:rsid w:val="00CE40FD"/>
    <w:rsid w:val="00D26880"/>
    <w:rsid w:val="00D475B8"/>
    <w:rsid w:val="00E118BE"/>
    <w:rsid w:val="00E406D0"/>
    <w:rsid w:val="00ED3D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499CC"/>
  <w15:chartTrackingRefBased/>
  <w15:docId w15:val="{D883E0B7-ADAC-4691-B2DF-2101AC2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D69D5"/>
    <w:rPr>
      <w:color w:val="808080"/>
    </w:rPr>
  </w:style>
  <w:style w:type="paragraph" w:styleId="En-tte">
    <w:name w:val="header"/>
    <w:basedOn w:val="Normal"/>
    <w:link w:val="En-tteCar"/>
    <w:uiPriority w:val="99"/>
    <w:unhideWhenUsed/>
    <w:rsid w:val="00ED3D54"/>
    <w:pPr>
      <w:tabs>
        <w:tab w:val="center" w:pos="4536"/>
        <w:tab w:val="right" w:pos="9072"/>
      </w:tabs>
      <w:spacing w:after="0" w:line="240" w:lineRule="auto"/>
    </w:pPr>
  </w:style>
  <w:style w:type="character" w:customStyle="1" w:styleId="En-tteCar">
    <w:name w:val="En-tête Car"/>
    <w:basedOn w:val="Policepardfaut"/>
    <w:link w:val="En-tte"/>
    <w:uiPriority w:val="99"/>
    <w:rsid w:val="00ED3D54"/>
  </w:style>
  <w:style w:type="paragraph" w:styleId="Pieddepage">
    <w:name w:val="footer"/>
    <w:basedOn w:val="Normal"/>
    <w:link w:val="PieddepageCar"/>
    <w:uiPriority w:val="99"/>
    <w:unhideWhenUsed/>
    <w:rsid w:val="00ED3D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3D54"/>
  </w:style>
  <w:style w:type="paragraph" w:styleId="Titre">
    <w:name w:val="Title"/>
    <w:basedOn w:val="Normal"/>
    <w:next w:val="Normal"/>
    <w:link w:val="TitreCar"/>
    <w:uiPriority w:val="10"/>
    <w:qFormat/>
    <w:rsid w:val="00ED3D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D3D54"/>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ED3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D3D54"/>
    <w:pPr>
      <w:ind w:left="720"/>
      <w:contextualSpacing/>
    </w:pPr>
  </w:style>
  <w:style w:type="paragraph" w:styleId="NormalWeb">
    <w:name w:val="Normal (Web)"/>
    <w:basedOn w:val="Normal"/>
    <w:uiPriority w:val="99"/>
    <w:semiHidden/>
    <w:unhideWhenUsed/>
    <w:rsid w:val="0092077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B039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116446">
      <w:bodyDiv w:val="1"/>
      <w:marLeft w:val="0"/>
      <w:marRight w:val="0"/>
      <w:marTop w:val="0"/>
      <w:marBottom w:val="0"/>
      <w:divBdr>
        <w:top w:val="none" w:sz="0" w:space="0" w:color="auto"/>
        <w:left w:val="none" w:sz="0" w:space="0" w:color="auto"/>
        <w:bottom w:val="none" w:sz="0" w:space="0" w:color="auto"/>
        <w:right w:val="none" w:sz="0" w:space="0" w:color="auto"/>
      </w:divBdr>
    </w:div>
    <w:div w:id="1494181040">
      <w:bodyDiv w:val="1"/>
      <w:marLeft w:val="0"/>
      <w:marRight w:val="0"/>
      <w:marTop w:val="0"/>
      <w:marBottom w:val="0"/>
      <w:divBdr>
        <w:top w:val="none" w:sz="0" w:space="0" w:color="auto"/>
        <w:left w:val="none" w:sz="0" w:space="0" w:color="auto"/>
        <w:bottom w:val="none" w:sz="0" w:space="0" w:color="auto"/>
        <w:right w:val="none" w:sz="0" w:space="0" w:color="auto"/>
      </w:divBdr>
    </w:div>
    <w:div w:id="1668512981">
      <w:bodyDiv w:val="1"/>
      <w:marLeft w:val="0"/>
      <w:marRight w:val="0"/>
      <w:marTop w:val="0"/>
      <w:marBottom w:val="0"/>
      <w:divBdr>
        <w:top w:val="none" w:sz="0" w:space="0" w:color="auto"/>
        <w:left w:val="none" w:sz="0" w:space="0" w:color="auto"/>
        <w:bottom w:val="none" w:sz="0" w:space="0" w:color="auto"/>
        <w:right w:val="none" w:sz="0" w:space="0" w:color="auto"/>
      </w:divBdr>
    </w:div>
    <w:div w:id="1740979347">
      <w:bodyDiv w:val="1"/>
      <w:marLeft w:val="0"/>
      <w:marRight w:val="0"/>
      <w:marTop w:val="0"/>
      <w:marBottom w:val="0"/>
      <w:divBdr>
        <w:top w:val="none" w:sz="0" w:space="0" w:color="auto"/>
        <w:left w:val="none" w:sz="0" w:space="0" w:color="auto"/>
        <w:bottom w:val="none" w:sz="0" w:space="0" w:color="auto"/>
        <w:right w:val="none" w:sz="0" w:space="0" w:color="auto"/>
      </w:divBdr>
    </w:div>
    <w:div w:id="1748259982">
      <w:bodyDiv w:val="1"/>
      <w:marLeft w:val="0"/>
      <w:marRight w:val="0"/>
      <w:marTop w:val="0"/>
      <w:marBottom w:val="0"/>
      <w:divBdr>
        <w:top w:val="none" w:sz="0" w:space="0" w:color="auto"/>
        <w:left w:val="none" w:sz="0" w:space="0" w:color="auto"/>
        <w:bottom w:val="none" w:sz="0" w:space="0" w:color="auto"/>
        <w:right w:val="none" w:sz="0" w:space="0" w:color="auto"/>
      </w:divBdr>
    </w:div>
    <w:div w:id="1753508456">
      <w:bodyDiv w:val="1"/>
      <w:marLeft w:val="0"/>
      <w:marRight w:val="0"/>
      <w:marTop w:val="0"/>
      <w:marBottom w:val="0"/>
      <w:divBdr>
        <w:top w:val="none" w:sz="0" w:space="0" w:color="auto"/>
        <w:left w:val="none" w:sz="0" w:space="0" w:color="auto"/>
        <w:bottom w:val="none" w:sz="0" w:space="0" w:color="auto"/>
        <w:right w:val="none" w:sz="0" w:space="0" w:color="auto"/>
      </w:divBdr>
    </w:div>
    <w:div w:id="207272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3</Pages>
  <Words>497</Words>
  <Characters>2738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FICHOT</dc:creator>
  <cp:keywords/>
  <dc:description/>
  <cp:lastModifiedBy>Dominique FICHOT</cp:lastModifiedBy>
  <cp:revision>1</cp:revision>
  <dcterms:created xsi:type="dcterms:W3CDTF">2023-01-04T08:15:00Z</dcterms:created>
  <dcterms:modified xsi:type="dcterms:W3CDTF">2023-01-04T11:51:00Z</dcterms:modified>
</cp:coreProperties>
</file>